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B990" w14:textId="2327E326" w:rsidR="00E203C2" w:rsidRDefault="00E203C2" w:rsidP="00E203C2">
      <w:r>
        <w:rPr>
          <w:noProof/>
          <w:lang w:eastAsia="en-GB" w:bidi="ar-SA"/>
        </w:rPr>
        <w:drawing>
          <wp:inline distT="0" distB="0" distL="0" distR="0" wp14:anchorId="1E57433F" wp14:editId="4C41DE7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CB18555" w14:textId="77777777" w:rsidR="00E203C2" w:rsidRDefault="00E203C2" w:rsidP="00E203C2"/>
    <w:p w14:paraId="3154D450" w14:textId="6CB859FE" w:rsidR="00CA641D" w:rsidRPr="00E94A39" w:rsidRDefault="001F66EC" w:rsidP="00CA641D">
      <w:pPr>
        <w:rPr>
          <w:b/>
          <w:sz w:val="28"/>
          <w:szCs w:val="28"/>
        </w:rPr>
      </w:pPr>
      <w:r>
        <w:rPr>
          <w:b/>
          <w:sz w:val="28"/>
          <w:szCs w:val="28"/>
        </w:rPr>
        <w:t>21 March 2019</w:t>
      </w:r>
    </w:p>
    <w:p w14:paraId="1E61D103" w14:textId="364C1DED" w:rsidR="00CA641D" w:rsidRPr="00E94A39" w:rsidRDefault="001F66EC" w:rsidP="00CA641D">
      <w:pPr>
        <w:rPr>
          <w:b/>
          <w:sz w:val="28"/>
          <w:szCs w:val="28"/>
        </w:rPr>
      </w:pPr>
      <w:r>
        <w:rPr>
          <w:b/>
          <w:sz w:val="28"/>
          <w:szCs w:val="28"/>
        </w:rPr>
        <w:t>[75-19</w:t>
      </w:r>
      <w:bookmarkStart w:id="0" w:name="_GoBack"/>
      <w:bookmarkEnd w:id="0"/>
      <w:r w:rsidR="00CA641D" w:rsidRPr="00E94A39">
        <w:rPr>
          <w:b/>
          <w:sz w:val="28"/>
          <w:szCs w:val="28"/>
        </w:rPr>
        <w:t>]</w:t>
      </w:r>
    </w:p>
    <w:p w14:paraId="299C32AA" w14:textId="77777777" w:rsidR="0057615C" w:rsidRPr="0057615C" w:rsidRDefault="0057615C" w:rsidP="00690206">
      <w:pPr>
        <w:pStyle w:val="FSTitle"/>
        <w:rPr>
          <w:b/>
          <w:sz w:val="22"/>
        </w:rPr>
      </w:pPr>
    </w:p>
    <w:p w14:paraId="68505DAD" w14:textId="664674EC"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174F8E" w:rsidRPr="00A00E7B">
        <w:rPr>
          <w:b/>
        </w:rPr>
        <w:t>1</w:t>
      </w:r>
    </w:p>
    <w:p w14:paraId="6E269F58" w14:textId="77777777" w:rsidR="00BA24E2" w:rsidRDefault="00BA24E2" w:rsidP="00E203C2"/>
    <w:p w14:paraId="5ABBE994" w14:textId="279070D3" w:rsidR="00D056F1" w:rsidRPr="002959B8" w:rsidRDefault="00174F8E" w:rsidP="00690206">
      <w:pPr>
        <w:pStyle w:val="FSTitle"/>
      </w:pPr>
      <w:r w:rsidRPr="002959B8">
        <w:t>Food technology, hazard and dietary assessment</w:t>
      </w:r>
      <w:r w:rsidR="006B5EBE" w:rsidRPr="002959B8">
        <w:t xml:space="preserve">– </w:t>
      </w:r>
      <w:r w:rsidR="00D056F1" w:rsidRPr="002959B8">
        <w:t>A</w:t>
      </w:r>
      <w:r w:rsidRPr="002959B8">
        <w:t>pplication</w:t>
      </w:r>
      <w:r w:rsidR="00D056F1" w:rsidRPr="002959B8">
        <w:t xml:space="preserve"> A</w:t>
      </w:r>
      <w:r w:rsidRPr="002959B8">
        <w:t>1149</w:t>
      </w:r>
    </w:p>
    <w:p w14:paraId="75FCC148" w14:textId="77777777" w:rsidR="00E203C2" w:rsidRPr="00690206" w:rsidRDefault="00E203C2" w:rsidP="00690206"/>
    <w:p w14:paraId="7C8FE448" w14:textId="3453CC1E" w:rsidR="00D056F1" w:rsidRPr="002959B8" w:rsidRDefault="00E844B9" w:rsidP="00F150EC">
      <w:pPr>
        <w:pStyle w:val="FSTitle"/>
        <w:pBdr>
          <w:bottom w:val="single" w:sz="4" w:space="1" w:color="auto"/>
        </w:pBdr>
      </w:pPr>
      <w:r w:rsidRPr="002959B8">
        <w:t xml:space="preserve">Addition of </w:t>
      </w:r>
      <w:r w:rsidR="00174F8E" w:rsidRPr="002959B8">
        <w:t xml:space="preserve">Steviol glycosides </w:t>
      </w:r>
      <w:r w:rsidR="00CE3FA7">
        <w:t>to</w:t>
      </w:r>
      <w:r w:rsidR="00CE3FA7" w:rsidRPr="002959B8">
        <w:t xml:space="preserve"> </w:t>
      </w:r>
      <w:r w:rsidR="00174F8E" w:rsidRPr="002959B8">
        <w:t>fruit drinks</w:t>
      </w:r>
    </w:p>
    <w:p w14:paraId="2102EA69" w14:textId="77777777" w:rsidR="00E203C2" w:rsidRPr="00B37BF0" w:rsidRDefault="00E203C2" w:rsidP="00E203C2"/>
    <w:p w14:paraId="07E77BBD" w14:textId="77777777" w:rsidR="00092CDA" w:rsidRPr="00E94A39" w:rsidRDefault="00092CDA" w:rsidP="00641AE4">
      <w:pPr>
        <w:pStyle w:val="Heading1"/>
        <w:numPr>
          <w:ilvl w:val="0"/>
          <w:numId w:val="0"/>
        </w:numPr>
        <w:spacing w:before="0"/>
        <w:ind w:left="432" w:hanging="432"/>
        <w:rPr>
          <w:szCs w:val="36"/>
        </w:rPr>
      </w:pPr>
      <w:bookmarkStart w:id="1" w:name="_Toc286391001"/>
      <w:bookmarkStart w:id="2" w:name="_Toc300933414"/>
      <w:bookmarkStart w:id="3" w:name="_Toc522718976"/>
      <w:bookmarkStart w:id="4" w:name="_Toc522712014"/>
      <w:bookmarkStart w:id="5" w:name="_Toc523830648"/>
      <w:bookmarkStart w:id="6" w:name="_Toc526337813"/>
      <w:bookmarkStart w:id="7" w:name="_Toc526343072"/>
      <w:r w:rsidRPr="00E94A39">
        <w:rPr>
          <w:szCs w:val="36"/>
        </w:rPr>
        <w:t xml:space="preserve">Executive </w:t>
      </w:r>
      <w:r w:rsidR="00B12F1E" w:rsidRPr="00E94A39">
        <w:rPr>
          <w:szCs w:val="36"/>
        </w:rPr>
        <w:t>s</w:t>
      </w:r>
      <w:r w:rsidRPr="00E94A39">
        <w:rPr>
          <w:szCs w:val="36"/>
        </w:rPr>
        <w:t>ummary</w:t>
      </w:r>
      <w:bookmarkEnd w:id="1"/>
      <w:bookmarkEnd w:id="2"/>
      <w:bookmarkEnd w:id="3"/>
      <w:bookmarkEnd w:id="4"/>
      <w:bookmarkEnd w:id="5"/>
      <w:bookmarkEnd w:id="6"/>
      <w:bookmarkEnd w:id="7"/>
    </w:p>
    <w:p w14:paraId="2C368B17" w14:textId="153FF136" w:rsidR="00F12CEF" w:rsidRDefault="00F12CEF" w:rsidP="00F12CEF">
      <w:pPr>
        <w:rPr>
          <w:lang w:bidi="ar-SA"/>
        </w:rPr>
      </w:pPr>
      <w:r>
        <w:t xml:space="preserve">FSANZ has assessed an application from the Australian Beverages Council Ltd (ABCL) </w:t>
      </w:r>
      <w:r>
        <w:rPr>
          <w:lang w:bidi="ar-SA"/>
        </w:rPr>
        <w:t xml:space="preserve">to amend the Australia New Zealand Food Standards Code (the Code) to permit the addition of steviol glycosides </w:t>
      </w:r>
      <w:r w:rsidR="00CE3FA7">
        <w:rPr>
          <w:lang w:bidi="ar-SA"/>
        </w:rPr>
        <w:t xml:space="preserve">to </w:t>
      </w:r>
      <w:r>
        <w:rPr>
          <w:lang w:bidi="ar-SA"/>
        </w:rPr>
        <w:t xml:space="preserve">fruit drinks at a maximum permitted level </w:t>
      </w:r>
      <w:r w:rsidR="001B037B">
        <w:rPr>
          <w:lang w:bidi="ar-SA"/>
        </w:rPr>
        <w:t xml:space="preserve">(MPL) </w:t>
      </w:r>
      <w:r>
        <w:rPr>
          <w:lang w:bidi="ar-SA"/>
        </w:rPr>
        <w:t>of 200 mg/kg</w:t>
      </w:r>
      <w:r w:rsidR="00266144">
        <w:rPr>
          <w:lang w:bidi="ar-SA"/>
        </w:rPr>
        <w:t xml:space="preserve"> steviol equivalents</w:t>
      </w:r>
      <w:r>
        <w:rPr>
          <w:lang w:bidi="ar-SA"/>
        </w:rPr>
        <w:t>.</w:t>
      </w:r>
    </w:p>
    <w:p w14:paraId="632CFEBF" w14:textId="28781AE3" w:rsidR="00FC5A35" w:rsidRDefault="00FC5A35" w:rsidP="00690206"/>
    <w:p w14:paraId="063DB505" w14:textId="222F5365" w:rsidR="0065154C" w:rsidRDefault="00F12CEF" w:rsidP="0065154C">
      <w:r>
        <w:t xml:space="preserve">Steviol glycosides </w:t>
      </w:r>
      <w:r w:rsidR="00492677">
        <w:t xml:space="preserve">provide a technological </w:t>
      </w:r>
      <w:r w:rsidR="00893C3B">
        <w:t>purpose</w:t>
      </w:r>
      <w:r>
        <w:t xml:space="preserve"> as an intense sweetener </w:t>
      </w:r>
      <w:r w:rsidR="00266144">
        <w:t>and</w:t>
      </w:r>
      <w:r w:rsidR="00CD7839">
        <w:t xml:space="preserve"> are already permitted </w:t>
      </w:r>
      <w:r>
        <w:t>in a range of foods</w:t>
      </w:r>
      <w:r w:rsidR="00492677">
        <w:t xml:space="preserve"> at various maximum permitted levels, including levels </w:t>
      </w:r>
      <w:r w:rsidR="00CA2A00">
        <w:t xml:space="preserve">consistent with </w:t>
      </w:r>
      <w:r w:rsidR="00492677">
        <w:t>good manufacturing practice</w:t>
      </w:r>
      <w:r w:rsidDel="00266144">
        <w:t>.</w:t>
      </w:r>
      <w:r>
        <w:t xml:space="preserve"> </w:t>
      </w:r>
      <w:r w:rsidR="0065154C">
        <w:t xml:space="preserve">The food technology assessment concludes that the use of steviol glycosides as a food additive in fruit drinks is technologically justified in the quantity and form proposed. </w:t>
      </w:r>
    </w:p>
    <w:p w14:paraId="00AA8F21" w14:textId="1A14711C" w:rsidR="00FC5A35" w:rsidRDefault="00FC5A35" w:rsidP="00690206"/>
    <w:p w14:paraId="40846A69" w14:textId="554C3075" w:rsidR="000D2B37" w:rsidRDefault="000D2B37" w:rsidP="000D2B37">
      <w:r>
        <w:t>An acceptable daily intake (ADI) of 0-4 mg/kg bw for steviol glycosides, expressed as steviol, was established by F</w:t>
      </w:r>
      <w:r w:rsidR="0077010F">
        <w:t>ood Standards Australia New Zealand (F</w:t>
      </w:r>
      <w:r>
        <w:t>SANZ</w:t>
      </w:r>
      <w:r w:rsidR="0077010F">
        <w:t>)</w:t>
      </w:r>
      <w:r>
        <w:t xml:space="preserve"> </w:t>
      </w:r>
      <w:r w:rsidR="008141C5">
        <w:t xml:space="preserve">and </w:t>
      </w:r>
      <w:r w:rsidR="00FB0773">
        <w:t xml:space="preserve">the </w:t>
      </w:r>
      <w:r w:rsidR="0077010F">
        <w:rPr>
          <w:lang w:bidi="ar-SA"/>
        </w:rPr>
        <w:t>Joint FAO/WHO Expert Committee on Food Additives (</w:t>
      </w:r>
      <w:r w:rsidR="008141C5">
        <w:t>JECFA</w:t>
      </w:r>
      <w:r w:rsidR="0077010F">
        <w:t>)</w:t>
      </w:r>
      <w:r w:rsidR="008141C5">
        <w:t xml:space="preserve"> </w:t>
      </w:r>
      <w:r w:rsidR="005F526E">
        <w:t xml:space="preserve">(FSANZ 2008, </w:t>
      </w:r>
      <w:r w:rsidR="008141C5">
        <w:t>JECFA 200</w:t>
      </w:r>
      <w:r w:rsidR="003068B6">
        <w:t>9)</w:t>
      </w:r>
      <w:r>
        <w:t xml:space="preserve">. Toxicological and other relevant data </w:t>
      </w:r>
      <w:r w:rsidRPr="00A32983">
        <w:t xml:space="preserve">published subsequent to FSANZ’s previous assessments </w:t>
      </w:r>
      <w:r>
        <w:t xml:space="preserve">of steviol glycosides </w:t>
      </w:r>
      <w:r w:rsidRPr="00A32983">
        <w:t>raise</w:t>
      </w:r>
      <w:r>
        <w:t>d</w:t>
      </w:r>
      <w:r w:rsidRPr="00A32983">
        <w:t xml:space="preserve"> no concerns regarding the safety of steviol glycosides and d</w:t>
      </w:r>
      <w:r>
        <w:t>id</w:t>
      </w:r>
      <w:r w:rsidRPr="00A32983">
        <w:t xml:space="preserve"> not indicate a need to </w:t>
      </w:r>
      <w:r>
        <w:t>amend</w:t>
      </w:r>
      <w:r w:rsidRPr="00A32983">
        <w:t xml:space="preserve"> the ADI.</w:t>
      </w:r>
    </w:p>
    <w:p w14:paraId="15113DDE" w14:textId="298CEAB8" w:rsidR="00FC5A35" w:rsidRDefault="00FC5A35" w:rsidP="00690206"/>
    <w:p w14:paraId="68604B87" w14:textId="185E4317" w:rsidR="00FC5A35" w:rsidRDefault="00FC5A35" w:rsidP="00FC5A35">
      <w:pPr>
        <w:rPr>
          <w:lang w:eastAsia="en-AU"/>
        </w:rPr>
      </w:pPr>
      <w:r>
        <w:rPr>
          <w:lang w:eastAsia="en-AU"/>
        </w:rPr>
        <w:t>FSANZ</w:t>
      </w:r>
      <w:r w:rsidRPr="00463FD9">
        <w:rPr>
          <w:lang w:eastAsia="en-AU"/>
        </w:rPr>
        <w:t xml:space="preserve"> </w:t>
      </w:r>
      <w:r>
        <w:rPr>
          <w:lang w:eastAsia="en-AU"/>
        </w:rPr>
        <w:t>estimated dietary exposure to steviol glycosides</w:t>
      </w:r>
      <w:r w:rsidR="00CF40EF">
        <w:rPr>
          <w:lang w:eastAsia="en-AU"/>
        </w:rPr>
        <w:t xml:space="preserve"> (expressed as steviol equivalents)</w:t>
      </w:r>
      <w:r>
        <w:rPr>
          <w:lang w:eastAsia="en-AU"/>
        </w:rPr>
        <w:t xml:space="preserve"> based on maximum permitted levels in </w:t>
      </w:r>
      <w:r w:rsidR="00FB37C7">
        <w:rPr>
          <w:lang w:eastAsia="en-AU"/>
        </w:rPr>
        <w:t>specific</w:t>
      </w:r>
      <w:r w:rsidR="00B84E52">
        <w:rPr>
          <w:lang w:eastAsia="en-AU"/>
        </w:rPr>
        <w:t xml:space="preserve"> </w:t>
      </w:r>
      <w:r>
        <w:rPr>
          <w:lang w:eastAsia="en-AU"/>
        </w:rPr>
        <w:t xml:space="preserve">foods and </w:t>
      </w:r>
      <w:r w:rsidR="00B84E52">
        <w:rPr>
          <w:lang w:eastAsia="en-AU"/>
        </w:rPr>
        <w:t xml:space="preserve">using </w:t>
      </w:r>
      <w:r>
        <w:rPr>
          <w:lang w:eastAsia="en-AU"/>
        </w:rPr>
        <w:t xml:space="preserve">the most </w:t>
      </w:r>
      <w:r>
        <w:t>recent Australian and New Zealand nutrition survey consumption data</w:t>
      </w:r>
      <w:r>
        <w:rPr>
          <w:lang w:eastAsia="en-AU"/>
        </w:rPr>
        <w:t xml:space="preserve">. </w:t>
      </w:r>
      <w:r w:rsidR="00B84E52">
        <w:rPr>
          <w:lang w:eastAsia="en-AU"/>
        </w:rPr>
        <w:t>Initial r</w:t>
      </w:r>
      <w:r w:rsidR="00706A3D">
        <w:rPr>
          <w:lang w:eastAsia="en-AU"/>
        </w:rPr>
        <w:t>esults showed d</w:t>
      </w:r>
      <w:r>
        <w:rPr>
          <w:lang w:eastAsia="en-AU"/>
        </w:rPr>
        <w:t>ietary exposures exceeded the ADI at the 90</w:t>
      </w:r>
      <w:r w:rsidRPr="001C61E1">
        <w:rPr>
          <w:vertAlign w:val="superscript"/>
          <w:lang w:eastAsia="en-AU"/>
        </w:rPr>
        <w:t>th</w:t>
      </w:r>
      <w:r>
        <w:rPr>
          <w:lang w:eastAsia="en-AU"/>
        </w:rPr>
        <w:t xml:space="preserve"> percentile</w:t>
      </w:r>
      <w:r w:rsidR="00893C3B">
        <w:rPr>
          <w:lang w:eastAsia="en-AU"/>
        </w:rPr>
        <w:t>,</w:t>
      </w:r>
      <w:r w:rsidR="00706A3D">
        <w:rPr>
          <w:lang w:eastAsia="en-AU"/>
        </w:rPr>
        <w:t xml:space="preserve"> so </w:t>
      </w:r>
      <w:r>
        <w:rPr>
          <w:lang w:eastAsia="en-AU"/>
        </w:rPr>
        <w:t xml:space="preserve">FSANZ collected concentration data from the food industry based on actual use levels and market share. A refined dietary exposure </w:t>
      </w:r>
      <w:r w:rsidR="00B84E52">
        <w:rPr>
          <w:lang w:eastAsia="en-AU"/>
        </w:rPr>
        <w:t xml:space="preserve">estimate </w:t>
      </w:r>
      <w:r w:rsidRPr="00463FD9">
        <w:rPr>
          <w:lang w:eastAsia="en-AU"/>
        </w:rPr>
        <w:t>based on</w:t>
      </w:r>
      <w:r>
        <w:rPr>
          <w:lang w:eastAsia="en-AU"/>
        </w:rPr>
        <w:t xml:space="preserve"> </w:t>
      </w:r>
      <w:r w:rsidR="00B84E52">
        <w:rPr>
          <w:lang w:eastAsia="en-AU"/>
        </w:rPr>
        <w:t xml:space="preserve">this </w:t>
      </w:r>
      <w:r>
        <w:rPr>
          <w:lang w:eastAsia="en-AU"/>
        </w:rPr>
        <w:t>industry use data was undertaken for baseline exposure</w:t>
      </w:r>
      <w:r w:rsidR="00706A3D">
        <w:rPr>
          <w:lang w:eastAsia="en-AU"/>
        </w:rPr>
        <w:t>,</w:t>
      </w:r>
      <w:r>
        <w:rPr>
          <w:lang w:eastAsia="en-AU"/>
        </w:rPr>
        <w:t xml:space="preserve"> then including the requested extension of us</w:t>
      </w:r>
      <w:r w:rsidR="009566BD">
        <w:rPr>
          <w:lang w:eastAsia="en-AU"/>
        </w:rPr>
        <w:t xml:space="preserve">e </w:t>
      </w:r>
      <w:r w:rsidR="00706A3D">
        <w:rPr>
          <w:lang w:eastAsia="en-AU"/>
        </w:rPr>
        <w:t xml:space="preserve">in </w:t>
      </w:r>
      <w:r w:rsidR="00421F70">
        <w:rPr>
          <w:lang w:eastAsia="en-AU"/>
        </w:rPr>
        <w:t>f</w:t>
      </w:r>
      <w:r w:rsidR="009566BD">
        <w:rPr>
          <w:lang w:eastAsia="en-AU"/>
        </w:rPr>
        <w:t xml:space="preserve">ruit </w:t>
      </w:r>
      <w:r w:rsidR="00421F70">
        <w:rPr>
          <w:lang w:eastAsia="en-AU"/>
        </w:rPr>
        <w:t>d</w:t>
      </w:r>
      <w:r w:rsidR="009566BD">
        <w:rPr>
          <w:lang w:eastAsia="en-AU"/>
        </w:rPr>
        <w:t xml:space="preserve">rinks at </w:t>
      </w:r>
      <w:r w:rsidR="00D91AAC">
        <w:rPr>
          <w:lang w:eastAsia="en-AU"/>
        </w:rPr>
        <w:t xml:space="preserve">an MPL of </w:t>
      </w:r>
      <w:r w:rsidR="009566BD">
        <w:rPr>
          <w:lang w:eastAsia="en-AU"/>
        </w:rPr>
        <w:t>200 mg/kg.</w:t>
      </w:r>
    </w:p>
    <w:p w14:paraId="513E711A" w14:textId="77777777" w:rsidR="00FC5A35" w:rsidRPr="003E4815" w:rsidRDefault="00FC5A35" w:rsidP="00FC5A35">
      <w:pPr>
        <w:rPr>
          <w:lang w:eastAsia="en-AU"/>
        </w:rPr>
      </w:pPr>
    </w:p>
    <w:p w14:paraId="229594AE" w14:textId="050218A7" w:rsidR="00FC5A35" w:rsidRDefault="00610BE2" w:rsidP="00610BE2">
      <w:pPr>
        <w:rPr>
          <w:lang w:eastAsia="en-AU"/>
        </w:rPr>
      </w:pPr>
      <w:r w:rsidRPr="00132F98">
        <w:rPr>
          <w:lang w:eastAsia="en-AU"/>
        </w:rPr>
        <w:t>The mean and 90</w:t>
      </w:r>
      <w:r w:rsidRPr="00132F98">
        <w:rPr>
          <w:vertAlign w:val="superscript"/>
          <w:lang w:eastAsia="en-AU"/>
        </w:rPr>
        <w:t>th</w:t>
      </w:r>
      <w:r w:rsidRPr="00132F98">
        <w:rPr>
          <w:lang w:eastAsia="en-AU"/>
        </w:rPr>
        <w:t xml:space="preserve"> percentile </w:t>
      </w:r>
      <w:r w:rsidRPr="00996436">
        <w:rPr>
          <w:szCs w:val="22"/>
          <w:lang w:eastAsia="en-AU"/>
        </w:rPr>
        <w:t>dietary</w:t>
      </w:r>
      <w:r w:rsidRPr="00FB37C7">
        <w:rPr>
          <w:sz w:val="24"/>
          <w:lang w:eastAsia="en-AU"/>
        </w:rPr>
        <w:t xml:space="preserve"> </w:t>
      </w:r>
      <w:r w:rsidRPr="00132F98">
        <w:rPr>
          <w:lang w:eastAsia="en-AU"/>
        </w:rPr>
        <w:t xml:space="preserve">exposures </w:t>
      </w:r>
      <w:r>
        <w:rPr>
          <w:lang w:eastAsia="en-AU"/>
        </w:rPr>
        <w:t>across the popu</w:t>
      </w:r>
      <w:r w:rsidR="009566BD">
        <w:rPr>
          <w:lang w:eastAsia="en-AU"/>
        </w:rPr>
        <w:t xml:space="preserve">lation groups assessed for the </w:t>
      </w:r>
      <w:r w:rsidR="009566BD" w:rsidRPr="009566BD">
        <w:rPr>
          <w:i/>
          <w:lang w:eastAsia="en-AU"/>
        </w:rPr>
        <w:t>R</w:t>
      </w:r>
      <w:r w:rsidRPr="009566BD">
        <w:rPr>
          <w:i/>
          <w:lang w:eastAsia="en-AU"/>
        </w:rPr>
        <w:t>efined baseline</w:t>
      </w:r>
      <w:r>
        <w:rPr>
          <w:lang w:eastAsia="en-AU"/>
        </w:rPr>
        <w:t xml:space="preserve"> </w:t>
      </w:r>
      <w:r w:rsidR="001B037B">
        <w:rPr>
          <w:lang w:eastAsia="en-AU"/>
        </w:rPr>
        <w:t xml:space="preserve">ranged </w:t>
      </w:r>
      <w:r w:rsidR="00EC4A15">
        <w:rPr>
          <w:lang w:eastAsia="en-AU"/>
        </w:rPr>
        <w:t>between 1.4-1.8</w:t>
      </w:r>
      <w:r>
        <w:rPr>
          <w:lang w:eastAsia="en-AU"/>
        </w:rPr>
        <w:t xml:space="preserve"> mg/kg bw/day and </w:t>
      </w:r>
      <w:r w:rsidR="00EC4A15">
        <w:rPr>
          <w:lang w:eastAsia="en-AU"/>
        </w:rPr>
        <w:t>2.2-3.5 </w:t>
      </w:r>
      <w:r>
        <w:rPr>
          <w:lang w:eastAsia="en-AU"/>
        </w:rPr>
        <w:t>mg/kg bw/day, respectively</w:t>
      </w:r>
      <w:r w:rsidR="001B037B">
        <w:rPr>
          <w:lang w:eastAsia="en-AU"/>
        </w:rPr>
        <w:t>.</w:t>
      </w:r>
      <w:r w:rsidR="00EC4A15">
        <w:rPr>
          <w:lang w:eastAsia="en-AU"/>
        </w:rPr>
        <w:t xml:space="preserve"> </w:t>
      </w:r>
      <w:r w:rsidR="001B037B">
        <w:rPr>
          <w:lang w:eastAsia="en-AU"/>
        </w:rPr>
        <w:t>F</w:t>
      </w:r>
      <w:r>
        <w:rPr>
          <w:lang w:eastAsia="en-AU"/>
        </w:rPr>
        <w:t xml:space="preserve">or the </w:t>
      </w:r>
      <w:r w:rsidR="00FC329D" w:rsidRPr="00C8134A">
        <w:rPr>
          <w:i/>
          <w:lang w:eastAsia="en-AU"/>
        </w:rPr>
        <w:t>R</w:t>
      </w:r>
      <w:r w:rsidRPr="00C8134A">
        <w:rPr>
          <w:i/>
          <w:lang w:eastAsia="en-AU"/>
        </w:rPr>
        <w:t>efined extension of use</w:t>
      </w:r>
      <w:r>
        <w:rPr>
          <w:lang w:eastAsia="en-AU"/>
        </w:rPr>
        <w:t xml:space="preserve"> scenario</w:t>
      </w:r>
      <w:r w:rsidR="001531C2">
        <w:rPr>
          <w:lang w:eastAsia="en-AU"/>
        </w:rPr>
        <w:t xml:space="preserve"> including fruit drinks</w:t>
      </w:r>
      <w:r w:rsidR="00EC4A15">
        <w:rPr>
          <w:lang w:eastAsia="en-AU"/>
        </w:rPr>
        <w:t>, dietary</w:t>
      </w:r>
      <w:r>
        <w:rPr>
          <w:lang w:eastAsia="en-AU"/>
        </w:rPr>
        <w:t xml:space="preserve"> exposures </w:t>
      </w:r>
      <w:r w:rsidR="00BA2F4F">
        <w:rPr>
          <w:lang w:eastAsia="en-AU"/>
        </w:rPr>
        <w:t>were</w:t>
      </w:r>
      <w:r>
        <w:rPr>
          <w:lang w:eastAsia="en-AU"/>
        </w:rPr>
        <w:t xml:space="preserve"> </w:t>
      </w:r>
      <w:r w:rsidRPr="00132F98">
        <w:rPr>
          <w:lang w:eastAsia="en-AU"/>
        </w:rPr>
        <w:t>1.5-1.9 mg/kg bw/day and 2.3-3.8 mg/kg bw/day, respectively.</w:t>
      </w:r>
      <w:r w:rsidR="00593D4E">
        <w:rPr>
          <w:lang w:eastAsia="en-AU"/>
        </w:rPr>
        <w:t xml:space="preserve"> The increase in dietary exposure by permitting use of steviol glycosides in fruit drinks is </w:t>
      </w:r>
      <w:r w:rsidR="001531C2">
        <w:rPr>
          <w:lang w:eastAsia="en-AU"/>
        </w:rPr>
        <w:t>0.1</w:t>
      </w:r>
      <w:r w:rsidR="00F20C6B">
        <w:rPr>
          <w:lang w:eastAsia="en-AU"/>
        </w:rPr>
        <w:t xml:space="preserve"> </w:t>
      </w:r>
      <w:r w:rsidR="00593D4E">
        <w:rPr>
          <w:lang w:eastAsia="en-AU"/>
        </w:rPr>
        <w:t>mg/kg bw/day</w:t>
      </w:r>
      <w:r w:rsidR="001531C2">
        <w:rPr>
          <w:lang w:eastAsia="en-AU"/>
        </w:rPr>
        <w:t xml:space="preserve"> at the mean and 0.1-0.4 mg/kg bw/day at the 90</w:t>
      </w:r>
      <w:r w:rsidR="001531C2" w:rsidRPr="001531C2">
        <w:rPr>
          <w:vertAlign w:val="superscript"/>
          <w:lang w:eastAsia="en-AU"/>
        </w:rPr>
        <w:t>th</w:t>
      </w:r>
      <w:r w:rsidR="001531C2">
        <w:rPr>
          <w:lang w:eastAsia="en-AU"/>
        </w:rPr>
        <w:t xml:space="preserve"> percentile</w:t>
      </w:r>
      <w:r w:rsidR="00593D4E">
        <w:rPr>
          <w:lang w:eastAsia="en-AU"/>
        </w:rPr>
        <w:t>.</w:t>
      </w:r>
    </w:p>
    <w:p w14:paraId="164DA377" w14:textId="77777777" w:rsidR="00610BE2" w:rsidRPr="003E4815" w:rsidRDefault="00610BE2" w:rsidP="00610BE2">
      <w:pPr>
        <w:rPr>
          <w:lang w:eastAsia="en-AU"/>
        </w:rPr>
      </w:pPr>
    </w:p>
    <w:p w14:paraId="52C4F447" w14:textId="535B866B" w:rsidR="00FC5A35" w:rsidRDefault="00610BE2" w:rsidP="00690206">
      <w:pPr>
        <w:rPr>
          <w:rFonts w:cs="Arial"/>
        </w:rPr>
      </w:pPr>
      <w:r>
        <w:rPr>
          <w:rFonts w:cs="Arial"/>
        </w:rPr>
        <w:t xml:space="preserve">Dietary exposure </w:t>
      </w:r>
      <w:r w:rsidR="001531C2">
        <w:rPr>
          <w:rFonts w:cs="Arial"/>
        </w:rPr>
        <w:t xml:space="preserve">as a </w:t>
      </w:r>
      <w:r w:rsidR="001531C2" w:rsidRPr="001531C2">
        <w:rPr>
          <w:rFonts w:cs="Arial"/>
        </w:rPr>
        <w:t xml:space="preserve">proportion of the ADI </w:t>
      </w:r>
      <w:r w:rsidRPr="001531C2">
        <w:rPr>
          <w:rFonts w:cs="Arial"/>
        </w:rPr>
        <w:t xml:space="preserve">for the </w:t>
      </w:r>
      <w:r w:rsidR="00C309FA" w:rsidRPr="00C309FA">
        <w:rPr>
          <w:rFonts w:cs="Arial"/>
          <w:i/>
        </w:rPr>
        <w:t>R</w:t>
      </w:r>
      <w:r w:rsidRPr="00C309FA">
        <w:rPr>
          <w:rFonts w:cs="Arial"/>
          <w:i/>
        </w:rPr>
        <w:t>efined baseline</w:t>
      </w:r>
      <w:r w:rsidRPr="001531C2">
        <w:rPr>
          <w:rFonts w:cs="Arial"/>
        </w:rPr>
        <w:t xml:space="preserve"> at the mean and 90</w:t>
      </w:r>
      <w:r w:rsidRPr="001531C2">
        <w:rPr>
          <w:rFonts w:cs="Arial"/>
          <w:vertAlign w:val="superscript"/>
        </w:rPr>
        <w:t>th</w:t>
      </w:r>
      <w:r w:rsidRPr="001531C2">
        <w:rPr>
          <w:rFonts w:cs="Arial"/>
        </w:rPr>
        <w:t xml:space="preserve"> percentile ranged between </w:t>
      </w:r>
      <w:r w:rsidR="001531C2" w:rsidRPr="001531C2">
        <w:rPr>
          <w:rFonts w:cs="Arial"/>
        </w:rPr>
        <w:t>35-45</w:t>
      </w:r>
      <w:r w:rsidRPr="001531C2">
        <w:rPr>
          <w:rFonts w:cs="Arial"/>
        </w:rPr>
        <w:t>%</w:t>
      </w:r>
      <w:r w:rsidR="001531C2" w:rsidRPr="001531C2">
        <w:rPr>
          <w:rFonts w:cs="Arial"/>
        </w:rPr>
        <w:t xml:space="preserve"> and 55-90%</w:t>
      </w:r>
      <w:r w:rsidR="00E23CB4">
        <w:rPr>
          <w:rFonts w:cs="Arial"/>
        </w:rPr>
        <w:t>,</w:t>
      </w:r>
      <w:r w:rsidR="001531C2" w:rsidRPr="001531C2">
        <w:rPr>
          <w:rFonts w:cs="Arial"/>
        </w:rPr>
        <w:t xml:space="preserve"> respectively</w:t>
      </w:r>
      <w:r w:rsidRPr="001531C2">
        <w:rPr>
          <w:rFonts w:cs="Arial"/>
        </w:rPr>
        <w:t xml:space="preserve"> across </w:t>
      </w:r>
      <w:r w:rsidR="001531C2" w:rsidRPr="001531C2">
        <w:rPr>
          <w:rFonts w:cs="Arial"/>
        </w:rPr>
        <w:t xml:space="preserve">all </w:t>
      </w:r>
      <w:r w:rsidRPr="001531C2">
        <w:rPr>
          <w:rFonts w:cs="Arial"/>
        </w:rPr>
        <w:t xml:space="preserve">population groups </w:t>
      </w:r>
      <w:r w:rsidRPr="001531C2">
        <w:rPr>
          <w:rFonts w:cs="Arial"/>
        </w:rPr>
        <w:lastRenderedPageBreak/>
        <w:t xml:space="preserve">assessed. For the </w:t>
      </w:r>
      <w:r w:rsidR="000F0308" w:rsidRPr="000F0308">
        <w:rPr>
          <w:rFonts w:cs="Arial"/>
          <w:i/>
        </w:rPr>
        <w:t>R</w:t>
      </w:r>
      <w:r w:rsidRPr="000F0308">
        <w:rPr>
          <w:rFonts w:cs="Arial"/>
          <w:i/>
        </w:rPr>
        <w:t>efined extension of use</w:t>
      </w:r>
      <w:r w:rsidRPr="001531C2">
        <w:rPr>
          <w:rFonts w:cs="Arial"/>
        </w:rPr>
        <w:t xml:space="preserve"> scenario, dietary exposures at the mean and 90</w:t>
      </w:r>
      <w:r w:rsidRPr="001531C2">
        <w:rPr>
          <w:rFonts w:cs="Arial"/>
          <w:vertAlign w:val="superscript"/>
        </w:rPr>
        <w:t>th</w:t>
      </w:r>
      <w:r w:rsidRPr="001531C2">
        <w:rPr>
          <w:rFonts w:cs="Arial"/>
        </w:rPr>
        <w:t xml:space="preserve"> percentile </w:t>
      </w:r>
      <w:r w:rsidR="00E23CB4" w:rsidRPr="001531C2">
        <w:rPr>
          <w:rFonts w:cs="Arial"/>
        </w:rPr>
        <w:t>w</w:t>
      </w:r>
      <w:r w:rsidR="00E23CB4">
        <w:rPr>
          <w:rFonts w:cs="Arial"/>
        </w:rPr>
        <w:t>ere</w:t>
      </w:r>
      <w:r w:rsidR="00E23CB4" w:rsidRPr="001531C2">
        <w:rPr>
          <w:rFonts w:cs="Arial"/>
        </w:rPr>
        <w:t xml:space="preserve"> </w:t>
      </w:r>
      <w:r w:rsidRPr="001531C2">
        <w:rPr>
          <w:rFonts w:cs="Arial"/>
        </w:rPr>
        <w:t>between 35%–45%</w:t>
      </w:r>
      <w:r w:rsidR="001531C2" w:rsidRPr="001531C2">
        <w:rPr>
          <w:rFonts w:cs="Arial"/>
        </w:rPr>
        <w:t xml:space="preserve"> of the ADI</w:t>
      </w:r>
      <w:r w:rsidRPr="001531C2">
        <w:rPr>
          <w:rFonts w:cs="Arial"/>
        </w:rPr>
        <w:t xml:space="preserve"> and between 60%–95%</w:t>
      </w:r>
      <w:r w:rsidR="001531C2" w:rsidRPr="001531C2">
        <w:rPr>
          <w:rFonts w:cs="Arial"/>
        </w:rPr>
        <w:t xml:space="preserve"> of the ADI</w:t>
      </w:r>
      <w:r w:rsidR="00E23CB4">
        <w:rPr>
          <w:rFonts w:cs="Arial"/>
        </w:rPr>
        <w:t>,</w:t>
      </w:r>
      <w:r w:rsidRPr="001531C2">
        <w:rPr>
          <w:rFonts w:cs="Arial"/>
        </w:rPr>
        <w:t xml:space="preserve"> respectively</w:t>
      </w:r>
      <w:r w:rsidR="00E23CB4">
        <w:rPr>
          <w:rFonts w:cs="Arial"/>
        </w:rPr>
        <w:t>,</w:t>
      </w:r>
      <w:r w:rsidRPr="001531C2">
        <w:rPr>
          <w:rFonts w:cs="Arial"/>
        </w:rPr>
        <w:t xml:space="preserve"> across the population groups assessed. </w:t>
      </w:r>
      <w:r w:rsidRPr="001531C2">
        <w:rPr>
          <w:lang w:eastAsia="en-AU"/>
        </w:rPr>
        <w:t>Estimated dietary exposures</w:t>
      </w:r>
      <w:r w:rsidR="001531C2" w:rsidRPr="001531C2">
        <w:rPr>
          <w:lang w:eastAsia="en-AU"/>
        </w:rPr>
        <w:t xml:space="preserve"> on average</w:t>
      </w:r>
      <w:r w:rsidRPr="001531C2">
        <w:rPr>
          <w:lang w:eastAsia="en-AU"/>
        </w:rPr>
        <w:t xml:space="preserve"> only increase by </w:t>
      </w:r>
      <w:r w:rsidR="001531C2" w:rsidRPr="001531C2">
        <w:rPr>
          <w:lang w:eastAsia="en-AU"/>
        </w:rPr>
        <w:t xml:space="preserve">up to </w:t>
      </w:r>
      <w:r w:rsidR="009566BD">
        <w:rPr>
          <w:lang w:eastAsia="en-AU"/>
        </w:rPr>
        <w:t xml:space="preserve">5% of the ADI between the </w:t>
      </w:r>
      <w:r w:rsidR="009566BD" w:rsidRPr="009566BD">
        <w:rPr>
          <w:i/>
          <w:lang w:eastAsia="en-AU"/>
        </w:rPr>
        <w:t>R</w:t>
      </w:r>
      <w:r w:rsidRPr="009566BD">
        <w:rPr>
          <w:i/>
          <w:lang w:eastAsia="en-AU"/>
        </w:rPr>
        <w:t>efined baseline</w:t>
      </w:r>
      <w:r w:rsidRPr="001531C2">
        <w:rPr>
          <w:lang w:eastAsia="en-AU"/>
        </w:rPr>
        <w:t xml:space="preserve"> and extension of use </w:t>
      </w:r>
      <w:r w:rsidR="00706A3D">
        <w:rPr>
          <w:lang w:eastAsia="en-AU"/>
        </w:rPr>
        <w:t>in</w:t>
      </w:r>
      <w:r w:rsidR="00706A3D" w:rsidRPr="001531C2">
        <w:rPr>
          <w:lang w:eastAsia="en-AU"/>
        </w:rPr>
        <w:t xml:space="preserve"> </w:t>
      </w:r>
      <w:r w:rsidRPr="001531C2">
        <w:rPr>
          <w:lang w:eastAsia="en-AU"/>
        </w:rPr>
        <w:t>fruit drinks scenarios. Therefore</w:t>
      </w:r>
      <w:r>
        <w:rPr>
          <w:lang w:eastAsia="en-AU"/>
        </w:rPr>
        <w:t xml:space="preserve"> the impact of permitting the use of steviol glycosides in fruit drinks on the dietary exposure to steviol glycosides is small.</w:t>
      </w:r>
    </w:p>
    <w:p w14:paraId="50F4D4BA" w14:textId="4B83A082" w:rsidR="00610BE2" w:rsidRDefault="00610BE2" w:rsidP="00690206">
      <w:pPr>
        <w:rPr>
          <w:rFonts w:cs="Arial"/>
        </w:rPr>
      </w:pPr>
    </w:p>
    <w:p w14:paraId="0E1CDB3B" w14:textId="5C90BE19" w:rsidR="00183236" w:rsidRDefault="00610BE2" w:rsidP="00183236">
      <w:r>
        <w:t xml:space="preserve">Based on the dietary exposure assessment, the ADI will not be exceeded by permitting the extension of use of steviol glycosides to </w:t>
      </w:r>
      <w:r w:rsidR="003341AD">
        <w:t>f</w:t>
      </w:r>
      <w:r>
        <w:t xml:space="preserve">ruit </w:t>
      </w:r>
      <w:r w:rsidR="003341AD">
        <w:t>d</w:t>
      </w:r>
      <w:r>
        <w:t>rinks at the MPL of 200 mg/kg</w:t>
      </w:r>
      <w:r w:rsidR="001531C2">
        <w:t xml:space="preserve"> steviol equivalents</w:t>
      </w:r>
      <w:r>
        <w:t>.</w:t>
      </w:r>
    </w:p>
    <w:p w14:paraId="325F3943" w14:textId="77777777" w:rsidR="00183236" w:rsidRDefault="00183236" w:rsidP="00183236"/>
    <w:p w14:paraId="48BF590A" w14:textId="76CFEACC" w:rsidR="00183236" w:rsidRDefault="0065154C" w:rsidP="00183236">
      <w:r>
        <w:rPr>
          <w:lang w:bidi="ar-SA"/>
        </w:rPr>
        <w:t>FSANZ conclude</w:t>
      </w:r>
      <w:r w:rsidR="003341AD">
        <w:rPr>
          <w:lang w:bidi="ar-SA"/>
        </w:rPr>
        <w:t>s</w:t>
      </w:r>
      <w:r>
        <w:rPr>
          <w:lang w:bidi="ar-SA"/>
        </w:rPr>
        <w:t xml:space="preserve"> that </w:t>
      </w:r>
      <w:r w:rsidR="00FE154E">
        <w:rPr>
          <w:lang w:bidi="ar-SA"/>
        </w:rPr>
        <w:t xml:space="preserve">there </w:t>
      </w:r>
      <w:r w:rsidR="00183236">
        <w:rPr>
          <w:lang w:bidi="ar-SA"/>
        </w:rPr>
        <w:t xml:space="preserve">are no public health and safety concerns from the extension of use of steviol glycosides </w:t>
      </w:r>
      <w:r w:rsidR="00706A3D">
        <w:rPr>
          <w:lang w:bidi="ar-SA"/>
        </w:rPr>
        <w:t xml:space="preserve">in </w:t>
      </w:r>
      <w:r w:rsidR="00861C86">
        <w:rPr>
          <w:lang w:bidi="ar-SA"/>
        </w:rPr>
        <w:t>f</w:t>
      </w:r>
      <w:r w:rsidR="00183236">
        <w:rPr>
          <w:lang w:bidi="ar-SA"/>
        </w:rPr>
        <w:t xml:space="preserve">ruit </w:t>
      </w:r>
      <w:r w:rsidR="00861C86">
        <w:rPr>
          <w:lang w:bidi="ar-SA"/>
        </w:rPr>
        <w:t>d</w:t>
      </w:r>
      <w:r w:rsidR="00183236">
        <w:rPr>
          <w:lang w:bidi="ar-SA"/>
        </w:rPr>
        <w:t>rinks at the proposed level</w:t>
      </w:r>
      <w:r w:rsidR="00E23CB4">
        <w:rPr>
          <w:lang w:bidi="ar-SA"/>
        </w:rPr>
        <w:t>s of addition.</w:t>
      </w:r>
    </w:p>
    <w:p w14:paraId="78E1FE39" w14:textId="42B1234A" w:rsidR="00610BE2" w:rsidRDefault="00610BE2" w:rsidP="00610BE2"/>
    <w:p w14:paraId="13B1876D" w14:textId="77777777" w:rsidR="00610BE2" w:rsidRDefault="00610BE2" w:rsidP="00690206"/>
    <w:p w14:paraId="4DA6AB97" w14:textId="77777777" w:rsidR="00FC5A35" w:rsidRDefault="00FC5A35" w:rsidP="00690206"/>
    <w:p w14:paraId="7131FCF3" w14:textId="77777777" w:rsidR="00092CDA" w:rsidRDefault="00092CDA" w:rsidP="00690206"/>
    <w:p w14:paraId="25C1F715" w14:textId="77777777" w:rsidR="00092CDA" w:rsidRDefault="00092CDA" w:rsidP="00690206">
      <w:pPr>
        <w:sectPr w:rsidR="00092CDA"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1D309D66" w14:textId="77777777" w:rsidR="00562917" w:rsidRPr="00D9620E" w:rsidRDefault="00562917" w:rsidP="00F14CEE">
      <w:pPr>
        <w:pStyle w:val="TOCHeading"/>
        <w:numPr>
          <w:ilvl w:val="0"/>
          <w:numId w:val="0"/>
        </w:numPr>
        <w:ind w:left="432"/>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13F61FFA" w14:textId="220DC053" w:rsidR="00990533"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6343072" w:history="1">
        <w:r w:rsidR="00990533" w:rsidRPr="00C64961">
          <w:rPr>
            <w:rStyle w:val="Hyperlink"/>
            <w:noProof/>
          </w:rPr>
          <w:t>Executive summary</w:t>
        </w:r>
        <w:r w:rsidR="00990533">
          <w:rPr>
            <w:noProof/>
            <w:webHidden/>
          </w:rPr>
          <w:tab/>
        </w:r>
        <w:r w:rsidR="00990533">
          <w:rPr>
            <w:noProof/>
            <w:webHidden/>
          </w:rPr>
          <w:fldChar w:fldCharType="begin"/>
        </w:r>
        <w:r w:rsidR="00990533">
          <w:rPr>
            <w:noProof/>
            <w:webHidden/>
          </w:rPr>
          <w:instrText xml:space="preserve"> PAGEREF _Toc526343072 \h </w:instrText>
        </w:r>
        <w:r w:rsidR="00990533">
          <w:rPr>
            <w:noProof/>
            <w:webHidden/>
          </w:rPr>
        </w:r>
        <w:r w:rsidR="00990533">
          <w:rPr>
            <w:noProof/>
            <w:webHidden/>
          </w:rPr>
          <w:fldChar w:fldCharType="separate"/>
        </w:r>
        <w:r w:rsidR="00893C3B">
          <w:rPr>
            <w:noProof/>
            <w:webHidden/>
          </w:rPr>
          <w:t>i</w:t>
        </w:r>
        <w:r w:rsidR="00990533">
          <w:rPr>
            <w:noProof/>
            <w:webHidden/>
          </w:rPr>
          <w:fldChar w:fldCharType="end"/>
        </w:r>
      </w:hyperlink>
    </w:p>
    <w:p w14:paraId="64356ABF" w14:textId="0237A0AD" w:rsidR="00990533" w:rsidRDefault="00BF5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43073" w:history="1">
        <w:r w:rsidR="00990533" w:rsidRPr="00C64961">
          <w:rPr>
            <w:rStyle w:val="Hyperlink"/>
            <w:noProof/>
          </w:rPr>
          <w:t>1</w:t>
        </w:r>
        <w:r w:rsidR="00990533">
          <w:rPr>
            <w:rFonts w:eastAsiaTheme="minorEastAsia" w:cstheme="minorBidi"/>
            <w:b w:val="0"/>
            <w:bCs w:val="0"/>
            <w:caps w:val="0"/>
            <w:noProof/>
            <w:sz w:val="22"/>
            <w:szCs w:val="22"/>
            <w:lang w:eastAsia="en-GB" w:bidi="ar-SA"/>
          </w:rPr>
          <w:tab/>
        </w:r>
        <w:r w:rsidR="00990533" w:rsidRPr="00C64961">
          <w:rPr>
            <w:rStyle w:val="Hyperlink"/>
            <w:noProof/>
          </w:rPr>
          <w:t>Introduction</w:t>
        </w:r>
        <w:r w:rsidR="00990533">
          <w:rPr>
            <w:noProof/>
            <w:webHidden/>
          </w:rPr>
          <w:tab/>
        </w:r>
        <w:r w:rsidR="00990533">
          <w:rPr>
            <w:noProof/>
            <w:webHidden/>
          </w:rPr>
          <w:fldChar w:fldCharType="begin"/>
        </w:r>
        <w:r w:rsidR="00990533">
          <w:rPr>
            <w:noProof/>
            <w:webHidden/>
          </w:rPr>
          <w:instrText xml:space="preserve"> PAGEREF _Toc526343073 \h </w:instrText>
        </w:r>
        <w:r w:rsidR="00990533">
          <w:rPr>
            <w:noProof/>
            <w:webHidden/>
          </w:rPr>
        </w:r>
        <w:r w:rsidR="00990533">
          <w:rPr>
            <w:noProof/>
            <w:webHidden/>
          </w:rPr>
          <w:fldChar w:fldCharType="separate"/>
        </w:r>
        <w:r w:rsidR="00893C3B">
          <w:rPr>
            <w:noProof/>
            <w:webHidden/>
          </w:rPr>
          <w:t>4</w:t>
        </w:r>
        <w:r w:rsidR="00990533">
          <w:rPr>
            <w:noProof/>
            <w:webHidden/>
          </w:rPr>
          <w:fldChar w:fldCharType="end"/>
        </w:r>
      </w:hyperlink>
    </w:p>
    <w:p w14:paraId="704D12AD" w14:textId="626904EE" w:rsidR="00990533" w:rsidRDefault="00BF5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43074" w:history="1">
        <w:r w:rsidR="00990533" w:rsidRPr="00C64961">
          <w:rPr>
            <w:rStyle w:val="Hyperlink"/>
            <w:noProof/>
          </w:rPr>
          <w:t>2</w:t>
        </w:r>
        <w:r w:rsidR="00990533">
          <w:rPr>
            <w:rFonts w:eastAsiaTheme="minorEastAsia" w:cstheme="minorBidi"/>
            <w:b w:val="0"/>
            <w:bCs w:val="0"/>
            <w:caps w:val="0"/>
            <w:noProof/>
            <w:sz w:val="22"/>
            <w:szCs w:val="22"/>
            <w:lang w:eastAsia="en-GB" w:bidi="ar-SA"/>
          </w:rPr>
          <w:tab/>
        </w:r>
        <w:r w:rsidR="00990533" w:rsidRPr="00C64961">
          <w:rPr>
            <w:rStyle w:val="Hyperlink"/>
            <w:noProof/>
          </w:rPr>
          <w:t>Food technology assessment</w:t>
        </w:r>
        <w:r w:rsidR="00990533">
          <w:rPr>
            <w:noProof/>
            <w:webHidden/>
          </w:rPr>
          <w:tab/>
        </w:r>
        <w:r w:rsidR="00990533">
          <w:rPr>
            <w:noProof/>
            <w:webHidden/>
          </w:rPr>
          <w:fldChar w:fldCharType="begin"/>
        </w:r>
        <w:r w:rsidR="00990533">
          <w:rPr>
            <w:noProof/>
            <w:webHidden/>
          </w:rPr>
          <w:instrText xml:space="preserve"> PAGEREF _Toc526343074 \h </w:instrText>
        </w:r>
        <w:r w:rsidR="00990533">
          <w:rPr>
            <w:noProof/>
            <w:webHidden/>
          </w:rPr>
        </w:r>
        <w:r w:rsidR="00990533">
          <w:rPr>
            <w:noProof/>
            <w:webHidden/>
          </w:rPr>
          <w:fldChar w:fldCharType="separate"/>
        </w:r>
        <w:r w:rsidR="00893C3B">
          <w:rPr>
            <w:noProof/>
            <w:webHidden/>
          </w:rPr>
          <w:t>4</w:t>
        </w:r>
        <w:r w:rsidR="00990533">
          <w:rPr>
            <w:noProof/>
            <w:webHidden/>
          </w:rPr>
          <w:fldChar w:fldCharType="end"/>
        </w:r>
      </w:hyperlink>
    </w:p>
    <w:p w14:paraId="57D26943" w14:textId="78ACC8A6"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75" w:history="1">
        <w:r w:rsidR="00990533" w:rsidRPr="00C64961">
          <w:rPr>
            <w:rStyle w:val="Hyperlink"/>
            <w:noProof/>
          </w:rPr>
          <w:t>2.1</w:t>
        </w:r>
        <w:r w:rsidR="00990533">
          <w:rPr>
            <w:rFonts w:eastAsiaTheme="minorEastAsia" w:cstheme="minorBidi"/>
            <w:smallCaps w:val="0"/>
            <w:noProof/>
            <w:sz w:val="22"/>
            <w:szCs w:val="22"/>
            <w:lang w:eastAsia="en-GB" w:bidi="ar-SA"/>
          </w:rPr>
          <w:tab/>
        </w:r>
        <w:r w:rsidR="00990533" w:rsidRPr="00C64961">
          <w:rPr>
            <w:rStyle w:val="Hyperlink"/>
            <w:noProof/>
          </w:rPr>
          <w:t>Previous FSANZ food technology assessments</w:t>
        </w:r>
        <w:r w:rsidR="00990533">
          <w:rPr>
            <w:noProof/>
            <w:webHidden/>
          </w:rPr>
          <w:tab/>
        </w:r>
        <w:r w:rsidR="00990533">
          <w:rPr>
            <w:noProof/>
            <w:webHidden/>
          </w:rPr>
          <w:fldChar w:fldCharType="begin"/>
        </w:r>
        <w:r w:rsidR="00990533">
          <w:rPr>
            <w:noProof/>
            <w:webHidden/>
          </w:rPr>
          <w:instrText xml:space="preserve"> PAGEREF _Toc526343075 \h </w:instrText>
        </w:r>
        <w:r w:rsidR="00990533">
          <w:rPr>
            <w:noProof/>
            <w:webHidden/>
          </w:rPr>
        </w:r>
        <w:r w:rsidR="00990533">
          <w:rPr>
            <w:noProof/>
            <w:webHidden/>
          </w:rPr>
          <w:fldChar w:fldCharType="separate"/>
        </w:r>
        <w:r w:rsidR="00893C3B">
          <w:rPr>
            <w:noProof/>
            <w:webHidden/>
          </w:rPr>
          <w:t>4</w:t>
        </w:r>
        <w:r w:rsidR="00990533">
          <w:rPr>
            <w:noProof/>
            <w:webHidden/>
          </w:rPr>
          <w:fldChar w:fldCharType="end"/>
        </w:r>
      </w:hyperlink>
    </w:p>
    <w:p w14:paraId="3E1D1744" w14:textId="1DA4BE4A"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76" w:history="1">
        <w:r w:rsidR="00990533" w:rsidRPr="00C64961">
          <w:rPr>
            <w:rStyle w:val="Hyperlink"/>
            <w:noProof/>
          </w:rPr>
          <w:t>2.2</w:t>
        </w:r>
        <w:r w:rsidR="00990533">
          <w:rPr>
            <w:rFonts w:eastAsiaTheme="minorEastAsia" w:cstheme="minorBidi"/>
            <w:smallCaps w:val="0"/>
            <w:noProof/>
            <w:sz w:val="22"/>
            <w:szCs w:val="22"/>
            <w:lang w:eastAsia="en-GB" w:bidi="ar-SA"/>
          </w:rPr>
          <w:tab/>
        </w:r>
        <w:r w:rsidR="00990533" w:rsidRPr="00C64961">
          <w:rPr>
            <w:rStyle w:val="Hyperlink"/>
            <w:noProof/>
          </w:rPr>
          <w:t>Objective for the food technology assessment</w:t>
        </w:r>
        <w:r w:rsidR="00990533">
          <w:rPr>
            <w:noProof/>
            <w:webHidden/>
          </w:rPr>
          <w:tab/>
        </w:r>
        <w:r w:rsidR="00990533">
          <w:rPr>
            <w:noProof/>
            <w:webHidden/>
          </w:rPr>
          <w:fldChar w:fldCharType="begin"/>
        </w:r>
        <w:r w:rsidR="00990533">
          <w:rPr>
            <w:noProof/>
            <w:webHidden/>
          </w:rPr>
          <w:instrText xml:space="preserve"> PAGEREF _Toc526343076 \h </w:instrText>
        </w:r>
        <w:r w:rsidR="00990533">
          <w:rPr>
            <w:noProof/>
            <w:webHidden/>
          </w:rPr>
        </w:r>
        <w:r w:rsidR="00990533">
          <w:rPr>
            <w:noProof/>
            <w:webHidden/>
          </w:rPr>
          <w:fldChar w:fldCharType="separate"/>
        </w:r>
        <w:r w:rsidR="00893C3B">
          <w:rPr>
            <w:noProof/>
            <w:webHidden/>
          </w:rPr>
          <w:t>5</w:t>
        </w:r>
        <w:r w:rsidR="00990533">
          <w:rPr>
            <w:noProof/>
            <w:webHidden/>
          </w:rPr>
          <w:fldChar w:fldCharType="end"/>
        </w:r>
      </w:hyperlink>
    </w:p>
    <w:p w14:paraId="7D126311" w14:textId="22CD516F"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77" w:history="1">
        <w:r w:rsidR="00990533" w:rsidRPr="00C64961">
          <w:rPr>
            <w:rStyle w:val="Hyperlink"/>
            <w:noProof/>
          </w:rPr>
          <w:t>2.3</w:t>
        </w:r>
        <w:r w:rsidR="00990533">
          <w:rPr>
            <w:rFonts w:eastAsiaTheme="minorEastAsia" w:cstheme="minorBidi"/>
            <w:smallCaps w:val="0"/>
            <w:noProof/>
            <w:sz w:val="22"/>
            <w:szCs w:val="22"/>
            <w:lang w:eastAsia="en-GB" w:bidi="ar-SA"/>
          </w:rPr>
          <w:tab/>
        </w:r>
        <w:r w:rsidR="00990533" w:rsidRPr="00C64961">
          <w:rPr>
            <w:rStyle w:val="Hyperlink"/>
            <w:noProof/>
          </w:rPr>
          <w:t>Chemical and physical properties</w:t>
        </w:r>
        <w:r w:rsidR="00990533">
          <w:rPr>
            <w:noProof/>
            <w:webHidden/>
          </w:rPr>
          <w:tab/>
        </w:r>
        <w:r w:rsidR="00990533">
          <w:rPr>
            <w:noProof/>
            <w:webHidden/>
          </w:rPr>
          <w:fldChar w:fldCharType="begin"/>
        </w:r>
        <w:r w:rsidR="00990533">
          <w:rPr>
            <w:noProof/>
            <w:webHidden/>
          </w:rPr>
          <w:instrText xml:space="preserve"> PAGEREF _Toc526343077 \h </w:instrText>
        </w:r>
        <w:r w:rsidR="00990533">
          <w:rPr>
            <w:noProof/>
            <w:webHidden/>
          </w:rPr>
        </w:r>
        <w:r w:rsidR="00990533">
          <w:rPr>
            <w:noProof/>
            <w:webHidden/>
          </w:rPr>
          <w:fldChar w:fldCharType="separate"/>
        </w:r>
        <w:r w:rsidR="00893C3B">
          <w:rPr>
            <w:noProof/>
            <w:webHidden/>
          </w:rPr>
          <w:t>5</w:t>
        </w:r>
        <w:r w:rsidR="00990533">
          <w:rPr>
            <w:noProof/>
            <w:webHidden/>
          </w:rPr>
          <w:fldChar w:fldCharType="end"/>
        </w:r>
      </w:hyperlink>
    </w:p>
    <w:p w14:paraId="456F7B70" w14:textId="27E5D377"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78" w:history="1">
        <w:r w:rsidR="00990533" w:rsidRPr="00C64961">
          <w:rPr>
            <w:rStyle w:val="Hyperlink"/>
            <w:noProof/>
          </w:rPr>
          <w:t>2.4</w:t>
        </w:r>
        <w:r w:rsidR="00990533">
          <w:rPr>
            <w:rFonts w:eastAsiaTheme="minorEastAsia" w:cstheme="minorBidi"/>
            <w:smallCaps w:val="0"/>
            <w:noProof/>
            <w:sz w:val="22"/>
            <w:szCs w:val="22"/>
            <w:lang w:eastAsia="en-GB" w:bidi="ar-SA"/>
          </w:rPr>
          <w:tab/>
        </w:r>
        <w:r w:rsidR="00990533" w:rsidRPr="00C64961">
          <w:rPr>
            <w:rStyle w:val="Hyperlink"/>
            <w:noProof/>
          </w:rPr>
          <w:t>Technological purpose</w:t>
        </w:r>
        <w:r w:rsidR="00990533">
          <w:rPr>
            <w:noProof/>
            <w:webHidden/>
          </w:rPr>
          <w:tab/>
        </w:r>
        <w:r w:rsidR="00990533">
          <w:rPr>
            <w:noProof/>
            <w:webHidden/>
          </w:rPr>
          <w:fldChar w:fldCharType="begin"/>
        </w:r>
        <w:r w:rsidR="00990533">
          <w:rPr>
            <w:noProof/>
            <w:webHidden/>
          </w:rPr>
          <w:instrText xml:space="preserve"> PAGEREF _Toc526343078 \h </w:instrText>
        </w:r>
        <w:r w:rsidR="00990533">
          <w:rPr>
            <w:noProof/>
            <w:webHidden/>
          </w:rPr>
        </w:r>
        <w:r w:rsidR="00990533">
          <w:rPr>
            <w:noProof/>
            <w:webHidden/>
          </w:rPr>
          <w:fldChar w:fldCharType="separate"/>
        </w:r>
        <w:r w:rsidR="00893C3B">
          <w:rPr>
            <w:noProof/>
            <w:webHidden/>
          </w:rPr>
          <w:t>6</w:t>
        </w:r>
        <w:r w:rsidR="00990533">
          <w:rPr>
            <w:noProof/>
            <w:webHidden/>
          </w:rPr>
          <w:fldChar w:fldCharType="end"/>
        </w:r>
      </w:hyperlink>
    </w:p>
    <w:p w14:paraId="60DF3FB1" w14:textId="6B699BC2"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79" w:history="1">
        <w:r w:rsidR="00990533" w:rsidRPr="00C64961">
          <w:rPr>
            <w:rStyle w:val="Hyperlink"/>
            <w:noProof/>
          </w:rPr>
          <w:t>2.5</w:t>
        </w:r>
        <w:r w:rsidR="00990533">
          <w:rPr>
            <w:rFonts w:eastAsiaTheme="minorEastAsia" w:cstheme="minorBidi"/>
            <w:smallCaps w:val="0"/>
            <w:noProof/>
            <w:sz w:val="22"/>
            <w:szCs w:val="22"/>
            <w:lang w:eastAsia="en-GB" w:bidi="ar-SA"/>
          </w:rPr>
          <w:tab/>
        </w:r>
        <w:r w:rsidR="00990533" w:rsidRPr="00C64961">
          <w:rPr>
            <w:rStyle w:val="Hyperlink"/>
            <w:noProof/>
          </w:rPr>
          <w:t>Technological justification</w:t>
        </w:r>
        <w:r w:rsidR="00990533">
          <w:rPr>
            <w:noProof/>
            <w:webHidden/>
          </w:rPr>
          <w:tab/>
        </w:r>
        <w:r w:rsidR="00990533">
          <w:rPr>
            <w:noProof/>
            <w:webHidden/>
          </w:rPr>
          <w:fldChar w:fldCharType="begin"/>
        </w:r>
        <w:r w:rsidR="00990533">
          <w:rPr>
            <w:noProof/>
            <w:webHidden/>
          </w:rPr>
          <w:instrText xml:space="preserve"> PAGEREF _Toc526343079 \h </w:instrText>
        </w:r>
        <w:r w:rsidR="00990533">
          <w:rPr>
            <w:noProof/>
            <w:webHidden/>
          </w:rPr>
        </w:r>
        <w:r w:rsidR="00990533">
          <w:rPr>
            <w:noProof/>
            <w:webHidden/>
          </w:rPr>
          <w:fldChar w:fldCharType="separate"/>
        </w:r>
        <w:r w:rsidR="00893C3B">
          <w:rPr>
            <w:noProof/>
            <w:webHidden/>
          </w:rPr>
          <w:t>7</w:t>
        </w:r>
        <w:r w:rsidR="00990533">
          <w:rPr>
            <w:noProof/>
            <w:webHidden/>
          </w:rPr>
          <w:fldChar w:fldCharType="end"/>
        </w:r>
      </w:hyperlink>
    </w:p>
    <w:p w14:paraId="6F9B587E" w14:textId="29418FB9"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80" w:history="1">
        <w:r w:rsidR="00990533" w:rsidRPr="00C64961">
          <w:rPr>
            <w:rStyle w:val="Hyperlink"/>
            <w:noProof/>
          </w:rPr>
          <w:t>2.6</w:t>
        </w:r>
        <w:r w:rsidR="00990533">
          <w:rPr>
            <w:rFonts w:eastAsiaTheme="minorEastAsia" w:cstheme="minorBidi"/>
            <w:smallCaps w:val="0"/>
            <w:noProof/>
            <w:sz w:val="22"/>
            <w:szCs w:val="22"/>
            <w:lang w:eastAsia="en-GB" w:bidi="ar-SA"/>
          </w:rPr>
          <w:tab/>
        </w:r>
        <w:r w:rsidR="00990533" w:rsidRPr="00C64961">
          <w:rPr>
            <w:rStyle w:val="Hyperlink"/>
            <w:noProof/>
          </w:rPr>
          <w:t>The manufacturing process</w:t>
        </w:r>
        <w:r w:rsidR="00990533">
          <w:rPr>
            <w:noProof/>
            <w:webHidden/>
          </w:rPr>
          <w:tab/>
        </w:r>
        <w:r w:rsidR="00990533">
          <w:rPr>
            <w:noProof/>
            <w:webHidden/>
          </w:rPr>
          <w:fldChar w:fldCharType="begin"/>
        </w:r>
        <w:r w:rsidR="00990533">
          <w:rPr>
            <w:noProof/>
            <w:webHidden/>
          </w:rPr>
          <w:instrText xml:space="preserve"> PAGEREF _Toc526343080 \h </w:instrText>
        </w:r>
        <w:r w:rsidR="00990533">
          <w:rPr>
            <w:noProof/>
            <w:webHidden/>
          </w:rPr>
        </w:r>
        <w:r w:rsidR="00990533">
          <w:rPr>
            <w:noProof/>
            <w:webHidden/>
          </w:rPr>
          <w:fldChar w:fldCharType="separate"/>
        </w:r>
        <w:r w:rsidR="00893C3B">
          <w:rPr>
            <w:noProof/>
            <w:webHidden/>
          </w:rPr>
          <w:t>7</w:t>
        </w:r>
        <w:r w:rsidR="00990533">
          <w:rPr>
            <w:noProof/>
            <w:webHidden/>
          </w:rPr>
          <w:fldChar w:fldCharType="end"/>
        </w:r>
      </w:hyperlink>
    </w:p>
    <w:p w14:paraId="359EC8E5" w14:textId="77B08E4D"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81" w:history="1">
        <w:r w:rsidR="00990533" w:rsidRPr="00C64961">
          <w:rPr>
            <w:rStyle w:val="Hyperlink"/>
            <w:noProof/>
          </w:rPr>
          <w:t>2.7</w:t>
        </w:r>
        <w:r w:rsidR="00990533">
          <w:rPr>
            <w:rFonts w:eastAsiaTheme="minorEastAsia" w:cstheme="minorBidi"/>
            <w:smallCaps w:val="0"/>
            <w:noProof/>
            <w:sz w:val="22"/>
            <w:szCs w:val="22"/>
            <w:lang w:eastAsia="en-GB" w:bidi="ar-SA"/>
          </w:rPr>
          <w:tab/>
        </w:r>
        <w:r w:rsidR="00990533" w:rsidRPr="00C64961">
          <w:rPr>
            <w:rStyle w:val="Hyperlink"/>
            <w:noProof/>
          </w:rPr>
          <w:t>Product specifications</w:t>
        </w:r>
        <w:r w:rsidR="00990533">
          <w:rPr>
            <w:noProof/>
            <w:webHidden/>
          </w:rPr>
          <w:tab/>
        </w:r>
        <w:r w:rsidR="00990533">
          <w:rPr>
            <w:noProof/>
            <w:webHidden/>
          </w:rPr>
          <w:fldChar w:fldCharType="begin"/>
        </w:r>
        <w:r w:rsidR="00990533">
          <w:rPr>
            <w:noProof/>
            <w:webHidden/>
          </w:rPr>
          <w:instrText xml:space="preserve"> PAGEREF _Toc526343081 \h </w:instrText>
        </w:r>
        <w:r w:rsidR="00990533">
          <w:rPr>
            <w:noProof/>
            <w:webHidden/>
          </w:rPr>
        </w:r>
        <w:r w:rsidR="00990533">
          <w:rPr>
            <w:noProof/>
            <w:webHidden/>
          </w:rPr>
          <w:fldChar w:fldCharType="separate"/>
        </w:r>
        <w:r w:rsidR="00893C3B">
          <w:rPr>
            <w:noProof/>
            <w:webHidden/>
          </w:rPr>
          <w:t>7</w:t>
        </w:r>
        <w:r w:rsidR="00990533">
          <w:rPr>
            <w:noProof/>
            <w:webHidden/>
          </w:rPr>
          <w:fldChar w:fldCharType="end"/>
        </w:r>
      </w:hyperlink>
    </w:p>
    <w:p w14:paraId="278DBB0E" w14:textId="58CD341A"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082" w:history="1">
        <w:r w:rsidR="00990533" w:rsidRPr="00C64961">
          <w:rPr>
            <w:rStyle w:val="Hyperlink"/>
            <w:noProof/>
          </w:rPr>
          <w:t>2.7.1 Calculating steviol equivalent or steviol levels</w:t>
        </w:r>
        <w:r w:rsidR="00990533">
          <w:rPr>
            <w:noProof/>
            <w:webHidden/>
          </w:rPr>
          <w:tab/>
        </w:r>
        <w:r w:rsidR="00990533">
          <w:rPr>
            <w:noProof/>
            <w:webHidden/>
          </w:rPr>
          <w:fldChar w:fldCharType="begin"/>
        </w:r>
        <w:r w:rsidR="00990533">
          <w:rPr>
            <w:noProof/>
            <w:webHidden/>
          </w:rPr>
          <w:instrText xml:space="preserve"> PAGEREF _Toc526343082 \h </w:instrText>
        </w:r>
        <w:r w:rsidR="00990533">
          <w:rPr>
            <w:noProof/>
            <w:webHidden/>
          </w:rPr>
        </w:r>
        <w:r w:rsidR="00990533">
          <w:rPr>
            <w:noProof/>
            <w:webHidden/>
          </w:rPr>
          <w:fldChar w:fldCharType="separate"/>
        </w:r>
        <w:r w:rsidR="00893C3B">
          <w:rPr>
            <w:noProof/>
            <w:webHidden/>
          </w:rPr>
          <w:t>8</w:t>
        </w:r>
        <w:r w:rsidR="00990533">
          <w:rPr>
            <w:noProof/>
            <w:webHidden/>
          </w:rPr>
          <w:fldChar w:fldCharType="end"/>
        </w:r>
      </w:hyperlink>
    </w:p>
    <w:p w14:paraId="034DD4F7" w14:textId="70CC9BE8"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83" w:history="1">
        <w:r w:rsidR="00990533" w:rsidRPr="00C64961">
          <w:rPr>
            <w:rStyle w:val="Hyperlink"/>
            <w:noProof/>
          </w:rPr>
          <w:t>2.8</w:t>
        </w:r>
        <w:r w:rsidR="00990533">
          <w:rPr>
            <w:rFonts w:eastAsiaTheme="minorEastAsia" w:cstheme="minorBidi"/>
            <w:smallCaps w:val="0"/>
            <w:noProof/>
            <w:sz w:val="22"/>
            <w:szCs w:val="22"/>
            <w:lang w:eastAsia="en-GB" w:bidi="ar-SA"/>
          </w:rPr>
          <w:tab/>
        </w:r>
        <w:r w:rsidR="00990533" w:rsidRPr="00C64961">
          <w:rPr>
            <w:rStyle w:val="Hyperlink"/>
            <w:noProof/>
          </w:rPr>
          <w:t>Analytical method for detection</w:t>
        </w:r>
        <w:r w:rsidR="00990533">
          <w:rPr>
            <w:noProof/>
            <w:webHidden/>
          </w:rPr>
          <w:tab/>
        </w:r>
        <w:r w:rsidR="00990533">
          <w:rPr>
            <w:noProof/>
            <w:webHidden/>
          </w:rPr>
          <w:fldChar w:fldCharType="begin"/>
        </w:r>
        <w:r w:rsidR="00990533">
          <w:rPr>
            <w:noProof/>
            <w:webHidden/>
          </w:rPr>
          <w:instrText xml:space="preserve"> PAGEREF _Toc526343083 \h </w:instrText>
        </w:r>
        <w:r w:rsidR="00990533">
          <w:rPr>
            <w:noProof/>
            <w:webHidden/>
          </w:rPr>
        </w:r>
        <w:r w:rsidR="00990533">
          <w:rPr>
            <w:noProof/>
            <w:webHidden/>
          </w:rPr>
          <w:fldChar w:fldCharType="separate"/>
        </w:r>
        <w:r w:rsidR="00893C3B">
          <w:rPr>
            <w:noProof/>
            <w:webHidden/>
          </w:rPr>
          <w:t>8</w:t>
        </w:r>
        <w:r w:rsidR="00990533">
          <w:rPr>
            <w:noProof/>
            <w:webHidden/>
          </w:rPr>
          <w:fldChar w:fldCharType="end"/>
        </w:r>
      </w:hyperlink>
    </w:p>
    <w:p w14:paraId="5BEFC924" w14:textId="524DDFC4"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84" w:history="1">
        <w:r w:rsidR="00990533" w:rsidRPr="00C64961">
          <w:rPr>
            <w:rStyle w:val="Hyperlink"/>
            <w:noProof/>
          </w:rPr>
          <w:t>2.9</w:t>
        </w:r>
        <w:r w:rsidR="00990533">
          <w:rPr>
            <w:rFonts w:eastAsiaTheme="minorEastAsia" w:cstheme="minorBidi"/>
            <w:smallCaps w:val="0"/>
            <w:noProof/>
            <w:sz w:val="22"/>
            <w:szCs w:val="22"/>
            <w:lang w:eastAsia="en-GB" w:bidi="ar-SA"/>
          </w:rPr>
          <w:tab/>
        </w:r>
        <w:r w:rsidR="00990533" w:rsidRPr="00C64961">
          <w:rPr>
            <w:rStyle w:val="Hyperlink"/>
            <w:noProof/>
          </w:rPr>
          <w:t>Product stability</w:t>
        </w:r>
        <w:r w:rsidR="00990533">
          <w:rPr>
            <w:noProof/>
            <w:webHidden/>
          </w:rPr>
          <w:tab/>
        </w:r>
        <w:r w:rsidR="00990533">
          <w:rPr>
            <w:noProof/>
            <w:webHidden/>
          </w:rPr>
          <w:fldChar w:fldCharType="begin"/>
        </w:r>
        <w:r w:rsidR="00990533">
          <w:rPr>
            <w:noProof/>
            <w:webHidden/>
          </w:rPr>
          <w:instrText xml:space="preserve"> PAGEREF _Toc526343084 \h </w:instrText>
        </w:r>
        <w:r w:rsidR="00990533">
          <w:rPr>
            <w:noProof/>
            <w:webHidden/>
          </w:rPr>
        </w:r>
        <w:r w:rsidR="00990533">
          <w:rPr>
            <w:noProof/>
            <w:webHidden/>
          </w:rPr>
          <w:fldChar w:fldCharType="separate"/>
        </w:r>
        <w:r w:rsidR="00893C3B">
          <w:rPr>
            <w:noProof/>
            <w:webHidden/>
          </w:rPr>
          <w:t>8</w:t>
        </w:r>
        <w:r w:rsidR="00990533">
          <w:rPr>
            <w:noProof/>
            <w:webHidden/>
          </w:rPr>
          <w:fldChar w:fldCharType="end"/>
        </w:r>
      </w:hyperlink>
    </w:p>
    <w:p w14:paraId="190459E0" w14:textId="3EDE1E6C" w:rsidR="00990533" w:rsidRDefault="00BF587A">
      <w:pPr>
        <w:pStyle w:val="TOC2"/>
        <w:tabs>
          <w:tab w:val="right" w:leader="dot" w:pos="9060"/>
        </w:tabs>
        <w:rPr>
          <w:rFonts w:eastAsiaTheme="minorEastAsia" w:cstheme="minorBidi"/>
          <w:smallCaps w:val="0"/>
          <w:noProof/>
          <w:sz w:val="22"/>
          <w:szCs w:val="22"/>
          <w:lang w:eastAsia="en-GB" w:bidi="ar-SA"/>
        </w:rPr>
      </w:pPr>
      <w:hyperlink w:anchor="_Toc526343085" w:history="1">
        <w:r w:rsidR="00990533" w:rsidRPr="00C64961">
          <w:rPr>
            <w:rStyle w:val="Hyperlink"/>
            <w:noProof/>
          </w:rPr>
          <w:t>2.10 Food technology conclusions</w:t>
        </w:r>
        <w:r w:rsidR="00990533">
          <w:rPr>
            <w:noProof/>
            <w:webHidden/>
          </w:rPr>
          <w:tab/>
        </w:r>
        <w:r w:rsidR="00990533">
          <w:rPr>
            <w:noProof/>
            <w:webHidden/>
          </w:rPr>
          <w:fldChar w:fldCharType="begin"/>
        </w:r>
        <w:r w:rsidR="00990533">
          <w:rPr>
            <w:noProof/>
            <w:webHidden/>
          </w:rPr>
          <w:instrText xml:space="preserve"> PAGEREF _Toc526343085 \h </w:instrText>
        </w:r>
        <w:r w:rsidR="00990533">
          <w:rPr>
            <w:noProof/>
            <w:webHidden/>
          </w:rPr>
        </w:r>
        <w:r w:rsidR="00990533">
          <w:rPr>
            <w:noProof/>
            <w:webHidden/>
          </w:rPr>
          <w:fldChar w:fldCharType="separate"/>
        </w:r>
        <w:r w:rsidR="00893C3B">
          <w:rPr>
            <w:noProof/>
            <w:webHidden/>
          </w:rPr>
          <w:t>8</w:t>
        </w:r>
        <w:r w:rsidR="00990533">
          <w:rPr>
            <w:noProof/>
            <w:webHidden/>
          </w:rPr>
          <w:fldChar w:fldCharType="end"/>
        </w:r>
      </w:hyperlink>
    </w:p>
    <w:p w14:paraId="56F8B127" w14:textId="7EC83A35" w:rsidR="00990533" w:rsidRDefault="00BF5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43086" w:history="1">
        <w:r w:rsidR="00990533" w:rsidRPr="00C64961">
          <w:rPr>
            <w:rStyle w:val="Hyperlink"/>
            <w:noProof/>
          </w:rPr>
          <w:t>3</w:t>
        </w:r>
        <w:r w:rsidR="00990533">
          <w:rPr>
            <w:rFonts w:eastAsiaTheme="minorEastAsia" w:cstheme="minorBidi"/>
            <w:b w:val="0"/>
            <w:bCs w:val="0"/>
            <w:caps w:val="0"/>
            <w:noProof/>
            <w:sz w:val="22"/>
            <w:szCs w:val="22"/>
            <w:lang w:eastAsia="en-GB" w:bidi="ar-SA"/>
          </w:rPr>
          <w:tab/>
        </w:r>
        <w:r w:rsidR="00990533" w:rsidRPr="00C64961">
          <w:rPr>
            <w:rStyle w:val="Hyperlink"/>
            <w:noProof/>
          </w:rPr>
          <w:t>Hazard assessment</w:t>
        </w:r>
        <w:r w:rsidR="00990533">
          <w:rPr>
            <w:noProof/>
            <w:webHidden/>
          </w:rPr>
          <w:tab/>
        </w:r>
        <w:r w:rsidR="00990533">
          <w:rPr>
            <w:noProof/>
            <w:webHidden/>
          </w:rPr>
          <w:fldChar w:fldCharType="begin"/>
        </w:r>
        <w:r w:rsidR="00990533">
          <w:rPr>
            <w:noProof/>
            <w:webHidden/>
          </w:rPr>
          <w:instrText xml:space="preserve"> PAGEREF _Toc526343086 \h </w:instrText>
        </w:r>
        <w:r w:rsidR="00990533">
          <w:rPr>
            <w:noProof/>
            <w:webHidden/>
          </w:rPr>
        </w:r>
        <w:r w:rsidR="00990533">
          <w:rPr>
            <w:noProof/>
            <w:webHidden/>
          </w:rPr>
          <w:fldChar w:fldCharType="separate"/>
        </w:r>
        <w:r w:rsidR="00893C3B">
          <w:rPr>
            <w:noProof/>
            <w:webHidden/>
          </w:rPr>
          <w:t>8</w:t>
        </w:r>
        <w:r w:rsidR="00990533">
          <w:rPr>
            <w:noProof/>
            <w:webHidden/>
          </w:rPr>
          <w:fldChar w:fldCharType="end"/>
        </w:r>
      </w:hyperlink>
    </w:p>
    <w:p w14:paraId="1DB109A6" w14:textId="32A6E452"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87" w:history="1">
        <w:r w:rsidR="00990533" w:rsidRPr="00C64961">
          <w:rPr>
            <w:rStyle w:val="Hyperlink"/>
            <w:noProof/>
          </w:rPr>
          <w:t>3.1</w:t>
        </w:r>
        <w:r w:rsidR="00990533">
          <w:rPr>
            <w:rFonts w:eastAsiaTheme="minorEastAsia" w:cstheme="minorBidi"/>
            <w:smallCaps w:val="0"/>
            <w:noProof/>
            <w:sz w:val="22"/>
            <w:szCs w:val="22"/>
            <w:lang w:eastAsia="en-GB" w:bidi="ar-SA"/>
          </w:rPr>
          <w:tab/>
        </w:r>
        <w:r w:rsidR="00990533" w:rsidRPr="00C64961">
          <w:rPr>
            <w:rStyle w:val="Hyperlink"/>
            <w:noProof/>
          </w:rPr>
          <w:t>Previous FSANZ hazard assessments</w:t>
        </w:r>
        <w:r w:rsidR="00990533">
          <w:rPr>
            <w:noProof/>
            <w:webHidden/>
          </w:rPr>
          <w:tab/>
        </w:r>
        <w:r w:rsidR="00990533">
          <w:rPr>
            <w:noProof/>
            <w:webHidden/>
          </w:rPr>
          <w:fldChar w:fldCharType="begin"/>
        </w:r>
        <w:r w:rsidR="00990533">
          <w:rPr>
            <w:noProof/>
            <w:webHidden/>
          </w:rPr>
          <w:instrText xml:space="preserve"> PAGEREF _Toc526343087 \h </w:instrText>
        </w:r>
        <w:r w:rsidR="00990533">
          <w:rPr>
            <w:noProof/>
            <w:webHidden/>
          </w:rPr>
        </w:r>
        <w:r w:rsidR="00990533">
          <w:rPr>
            <w:noProof/>
            <w:webHidden/>
          </w:rPr>
          <w:fldChar w:fldCharType="separate"/>
        </w:r>
        <w:r w:rsidR="00893C3B">
          <w:rPr>
            <w:noProof/>
            <w:webHidden/>
          </w:rPr>
          <w:t>8</w:t>
        </w:r>
        <w:r w:rsidR="00990533">
          <w:rPr>
            <w:noProof/>
            <w:webHidden/>
          </w:rPr>
          <w:fldChar w:fldCharType="end"/>
        </w:r>
      </w:hyperlink>
    </w:p>
    <w:p w14:paraId="2BCBEF09" w14:textId="428B730E"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88" w:history="1">
        <w:r w:rsidR="00990533" w:rsidRPr="00C64961">
          <w:rPr>
            <w:rStyle w:val="Hyperlink"/>
            <w:noProof/>
          </w:rPr>
          <w:t>3.2</w:t>
        </w:r>
        <w:r w:rsidR="00990533">
          <w:rPr>
            <w:rFonts w:eastAsiaTheme="minorEastAsia" w:cstheme="minorBidi"/>
            <w:smallCaps w:val="0"/>
            <w:noProof/>
            <w:sz w:val="22"/>
            <w:szCs w:val="22"/>
            <w:lang w:eastAsia="en-GB" w:bidi="ar-SA"/>
          </w:rPr>
          <w:tab/>
        </w:r>
        <w:r w:rsidR="00990533" w:rsidRPr="00C64961">
          <w:rPr>
            <w:rStyle w:val="Hyperlink"/>
            <w:noProof/>
          </w:rPr>
          <w:t>Objectives for the hazard assessment</w:t>
        </w:r>
        <w:r w:rsidR="00990533">
          <w:rPr>
            <w:noProof/>
            <w:webHidden/>
          </w:rPr>
          <w:tab/>
        </w:r>
        <w:r w:rsidR="00990533">
          <w:rPr>
            <w:noProof/>
            <w:webHidden/>
          </w:rPr>
          <w:fldChar w:fldCharType="begin"/>
        </w:r>
        <w:r w:rsidR="00990533">
          <w:rPr>
            <w:noProof/>
            <w:webHidden/>
          </w:rPr>
          <w:instrText xml:space="preserve"> PAGEREF _Toc526343088 \h </w:instrText>
        </w:r>
        <w:r w:rsidR="00990533">
          <w:rPr>
            <w:noProof/>
            <w:webHidden/>
          </w:rPr>
        </w:r>
        <w:r w:rsidR="00990533">
          <w:rPr>
            <w:noProof/>
            <w:webHidden/>
          </w:rPr>
          <w:fldChar w:fldCharType="separate"/>
        </w:r>
        <w:r w:rsidR="00893C3B">
          <w:rPr>
            <w:noProof/>
            <w:webHidden/>
          </w:rPr>
          <w:t>9</w:t>
        </w:r>
        <w:r w:rsidR="00990533">
          <w:rPr>
            <w:noProof/>
            <w:webHidden/>
          </w:rPr>
          <w:fldChar w:fldCharType="end"/>
        </w:r>
      </w:hyperlink>
    </w:p>
    <w:p w14:paraId="499DFBEB" w14:textId="24D80E56"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89" w:history="1">
        <w:r w:rsidR="00990533" w:rsidRPr="00C64961">
          <w:rPr>
            <w:rStyle w:val="Hyperlink"/>
            <w:noProof/>
          </w:rPr>
          <w:t>3.3</w:t>
        </w:r>
        <w:r w:rsidR="00990533">
          <w:rPr>
            <w:rFonts w:eastAsiaTheme="minorEastAsia" w:cstheme="minorBidi"/>
            <w:smallCaps w:val="0"/>
            <w:noProof/>
            <w:sz w:val="22"/>
            <w:szCs w:val="22"/>
            <w:lang w:eastAsia="en-GB" w:bidi="ar-SA"/>
          </w:rPr>
          <w:tab/>
        </w:r>
        <w:r w:rsidR="00990533" w:rsidRPr="00C64961">
          <w:rPr>
            <w:rStyle w:val="Hyperlink"/>
            <w:noProof/>
          </w:rPr>
          <w:t>Toxicological data</w:t>
        </w:r>
        <w:r w:rsidR="00990533">
          <w:rPr>
            <w:noProof/>
            <w:webHidden/>
          </w:rPr>
          <w:tab/>
        </w:r>
        <w:r w:rsidR="00990533">
          <w:rPr>
            <w:noProof/>
            <w:webHidden/>
          </w:rPr>
          <w:fldChar w:fldCharType="begin"/>
        </w:r>
        <w:r w:rsidR="00990533">
          <w:rPr>
            <w:noProof/>
            <w:webHidden/>
          </w:rPr>
          <w:instrText xml:space="preserve"> PAGEREF _Toc526343089 \h </w:instrText>
        </w:r>
        <w:r w:rsidR="00990533">
          <w:rPr>
            <w:noProof/>
            <w:webHidden/>
          </w:rPr>
        </w:r>
        <w:r w:rsidR="00990533">
          <w:rPr>
            <w:noProof/>
            <w:webHidden/>
          </w:rPr>
          <w:fldChar w:fldCharType="separate"/>
        </w:r>
        <w:r w:rsidR="00893C3B">
          <w:rPr>
            <w:noProof/>
            <w:webHidden/>
          </w:rPr>
          <w:t>9</w:t>
        </w:r>
        <w:r w:rsidR="00990533">
          <w:rPr>
            <w:noProof/>
            <w:webHidden/>
          </w:rPr>
          <w:fldChar w:fldCharType="end"/>
        </w:r>
      </w:hyperlink>
    </w:p>
    <w:p w14:paraId="4CD6436E" w14:textId="24BEBD57"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090" w:history="1">
        <w:r w:rsidR="00990533" w:rsidRPr="00C64961">
          <w:rPr>
            <w:rStyle w:val="Hyperlink"/>
            <w:noProof/>
          </w:rPr>
          <w:t>3.3.1 Acute studies in animals</w:t>
        </w:r>
        <w:r w:rsidR="00990533">
          <w:rPr>
            <w:noProof/>
            <w:webHidden/>
          </w:rPr>
          <w:tab/>
        </w:r>
        <w:r w:rsidR="00990533">
          <w:rPr>
            <w:noProof/>
            <w:webHidden/>
          </w:rPr>
          <w:fldChar w:fldCharType="begin"/>
        </w:r>
        <w:r w:rsidR="00990533">
          <w:rPr>
            <w:noProof/>
            <w:webHidden/>
          </w:rPr>
          <w:instrText xml:space="preserve"> PAGEREF _Toc526343090 \h </w:instrText>
        </w:r>
        <w:r w:rsidR="00990533">
          <w:rPr>
            <w:noProof/>
            <w:webHidden/>
          </w:rPr>
        </w:r>
        <w:r w:rsidR="00990533">
          <w:rPr>
            <w:noProof/>
            <w:webHidden/>
          </w:rPr>
          <w:fldChar w:fldCharType="separate"/>
        </w:r>
        <w:r w:rsidR="00893C3B">
          <w:rPr>
            <w:noProof/>
            <w:webHidden/>
          </w:rPr>
          <w:t>9</w:t>
        </w:r>
        <w:r w:rsidR="00990533">
          <w:rPr>
            <w:noProof/>
            <w:webHidden/>
          </w:rPr>
          <w:fldChar w:fldCharType="end"/>
        </w:r>
      </w:hyperlink>
    </w:p>
    <w:p w14:paraId="52E5C3BA" w14:textId="782F9258"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091" w:history="1">
        <w:r w:rsidR="00990533" w:rsidRPr="00C64961">
          <w:rPr>
            <w:rStyle w:val="Hyperlink"/>
            <w:noProof/>
          </w:rPr>
          <w:t>3.3.2 Other studies</w:t>
        </w:r>
        <w:r w:rsidR="00990533">
          <w:rPr>
            <w:noProof/>
            <w:webHidden/>
          </w:rPr>
          <w:tab/>
        </w:r>
        <w:r w:rsidR="00990533">
          <w:rPr>
            <w:noProof/>
            <w:webHidden/>
          </w:rPr>
          <w:fldChar w:fldCharType="begin"/>
        </w:r>
        <w:r w:rsidR="00990533">
          <w:rPr>
            <w:noProof/>
            <w:webHidden/>
          </w:rPr>
          <w:instrText xml:space="preserve"> PAGEREF _Toc526343091 \h </w:instrText>
        </w:r>
        <w:r w:rsidR="00990533">
          <w:rPr>
            <w:noProof/>
            <w:webHidden/>
          </w:rPr>
        </w:r>
        <w:r w:rsidR="00990533">
          <w:rPr>
            <w:noProof/>
            <w:webHidden/>
          </w:rPr>
          <w:fldChar w:fldCharType="separate"/>
        </w:r>
        <w:r w:rsidR="00893C3B">
          <w:rPr>
            <w:noProof/>
            <w:webHidden/>
          </w:rPr>
          <w:t>10</w:t>
        </w:r>
        <w:r w:rsidR="00990533">
          <w:rPr>
            <w:noProof/>
            <w:webHidden/>
          </w:rPr>
          <w:fldChar w:fldCharType="end"/>
        </w:r>
      </w:hyperlink>
    </w:p>
    <w:p w14:paraId="53929E92" w14:textId="3EEC11FA"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92" w:history="1">
        <w:r w:rsidR="00990533" w:rsidRPr="00C64961">
          <w:rPr>
            <w:rStyle w:val="Hyperlink"/>
            <w:noProof/>
          </w:rPr>
          <w:t>3.4</w:t>
        </w:r>
        <w:r w:rsidR="00990533">
          <w:rPr>
            <w:rFonts w:eastAsiaTheme="minorEastAsia" w:cstheme="minorBidi"/>
            <w:smallCaps w:val="0"/>
            <w:noProof/>
            <w:sz w:val="22"/>
            <w:szCs w:val="22"/>
            <w:lang w:eastAsia="en-GB" w:bidi="ar-SA"/>
          </w:rPr>
          <w:tab/>
        </w:r>
        <w:r w:rsidR="00990533" w:rsidRPr="00C64961">
          <w:rPr>
            <w:rStyle w:val="Hyperlink"/>
            <w:noProof/>
          </w:rPr>
          <w:t>Assessments by other agencies</w:t>
        </w:r>
        <w:r w:rsidR="00990533">
          <w:rPr>
            <w:noProof/>
            <w:webHidden/>
          </w:rPr>
          <w:tab/>
        </w:r>
        <w:r w:rsidR="00990533">
          <w:rPr>
            <w:noProof/>
            <w:webHidden/>
          </w:rPr>
          <w:fldChar w:fldCharType="begin"/>
        </w:r>
        <w:r w:rsidR="00990533">
          <w:rPr>
            <w:noProof/>
            <w:webHidden/>
          </w:rPr>
          <w:instrText xml:space="preserve"> PAGEREF _Toc526343092 \h </w:instrText>
        </w:r>
        <w:r w:rsidR="00990533">
          <w:rPr>
            <w:noProof/>
            <w:webHidden/>
          </w:rPr>
        </w:r>
        <w:r w:rsidR="00990533">
          <w:rPr>
            <w:noProof/>
            <w:webHidden/>
          </w:rPr>
          <w:fldChar w:fldCharType="separate"/>
        </w:r>
        <w:r w:rsidR="00893C3B">
          <w:rPr>
            <w:noProof/>
            <w:webHidden/>
          </w:rPr>
          <w:t>10</w:t>
        </w:r>
        <w:r w:rsidR="00990533">
          <w:rPr>
            <w:noProof/>
            <w:webHidden/>
          </w:rPr>
          <w:fldChar w:fldCharType="end"/>
        </w:r>
      </w:hyperlink>
    </w:p>
    <w:p w14:paraId="3ADA2560" w14:textId="512B4579"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093" w:history="1">
        <w:r w:rsidR="00990533" w:rsidRPr="00C64961">
          <w:rPr>
            <w:rStyle w:val="Hyperlink"/>
            <w:noProof/>
          </w:rPr>
          <w:t>3.4.1 Joint FAO/WHO Expert Committee on Food Additives (JECFA)</w:t>
        </w:r>
        <w:r w:rsidR="00990533">
          <w:rPr>
            <w:noProof/>
            <w:webHidden/>
          </w:rPr>
          <w:tab/>
        </w:r>
        <w:r w:rsidR="00990533">
          <w:rPr>
            <w:noProof/>
            <w:webHidden/>
          </w:rPr>
          <w:fldChar w:fldCharType="begin"/>
        </w:r>
        <w:r w:rsidR="00990533">
          <w:rPr>
            <w:noProof/>
            <w:webHidden/>
          </w:rPr>
          <w:instrText xml:space="preserve"> PAGEREF _Toc526343093 \h </w:instrText>
        </w:r>
        <w:r w:rsidR="00990533">
          <w:rPr>
            <w:noProof/>
            <w:webHidden/>
          </w:rPr>
        </w:r>
        <w:r w:rsidR="00990533">
          <w:rPr>
            <w:noProof/>
            <w:webHidden/>
          </w:rPr>
          <w:fldChar w:fldCharType="separate"/>
        </w:r>
        <w:r w:rsidR="00893C3B">
          <w:rPr>
            <w:noProof/>
            <w:webHidden/>
          </w:rPr>
          <w:t>10</w:t>
        </w:r>
        <w:r w:rsidR="00990533">
          <w:rPr>
            <w:noProof/>
            <w:webHidden/>
          </w:rPr>
          <w:fldChar w:fldCharType="end"/>
        </w:r>
      </w:hyperlink>
    </w:p>
    <w:p w14:paraId="5DD8A1A6" w14:textId="39140EAA" w:rsidR="00990533" w:rsidRDefault="00BF587A">
      <w:pPr>
        <w:pStyle w:val="TOC3"/>
        <w:tabs>
          <w:tab w:val="left" w:pos="1100"/>
          <w:tab w:val="right" w:leader="dot" w:pos="9060"/>
        </w:tabs>
        <w:rPr>
          <w:rFonts w:eastAsiaTheme="minorEastAsia" w:cstheme="minorBidi"/>
          <w:i w:val="0"/>
          <w:iCs w:val="0"/>
          <w:noProof/>
          <w:sz w:val="22"/>
          <w:szCs w:val="22"/>
          <w:lang w:eastAsia="en-GB" w:bidi="ar-SA"/>
        </w:rPr>
      </w:pPr>
      <w:hyperlink w:anchor="_Toc526343094" w:history="1">
        <w:r w:rsidR="00990533" w:rsidRPr="00C64961">
          <w:rPr>
            <w:rStyle w:val="Hyperlink"/>
            <w:noProof/>
          </w:rPr>
          <w:t>3.4.2</w:t>
        </w:r>
        <w:r w:rsidR="00990533">
          <w:rPr>
            <w:rFonts w:eastAsiaTheme="minorEastAsia" w:cstheme="minorBidi"/>
            <w:i w:val="0"/>
            <w:iCs w:val="0"/>
            <w:noProof/>
            <w:sz w:val="22"/>
            <w:szCs w:val="22"/>
            <w:lang w:eastAsia="en-GB" w:bidi="ar-SA"/>
          </w:rPr>
          <w:tab/>
        </w:r>
        <w:r w:rsidR="00990533" w:rsidRPr="00C64961">
          <w:rPr>
            <w:rStyle w:val="Hyperlink"/>
            <w:noProof/>
          </w:rPr>
          <w:t>Health Canada</w:t>
        </w:r>
        <w:r w:rsidR="00990533">
          <w:rPr>
            <w:noProof/>
            <w:webHidden/>
          </w:rPr>
          <w:tab/>
        </w:r>
        <w:r w:rsidR="00990533">
          <w:rPr>
            <w:noProof/>
            <w:webHidden/>
          </w:rPr>
          <w:fldChar w:fldCharType="begin"/>
        </w:r>
        <w:r w:rsidR="00990533">
          <w:rPr>
            <w:noProof/>
            <w:webHidden/>
          </w:rPr>
          <w:instrText xml:space="preserve"> PAGEREF _Toc526343094 \h </w:instrText>
        </w:r>
        <w:r w:rsidR="00990533">
          <w:rPr>
            <w:noProof/>
            <w:webHidden/>
          </w:rPr>
        </w:r>
        <w:r w:rsidR="00990533">
          <w:rPr>
            <w:noProof/>
            <w:webHidden/>
          </w:rPr>
          <w:fldChar w:fldCharType="separate"/>
        </w:r>
        <w:r w:rsidR="00893C3B">
          <w:rPr>
            <w:noProof/>
            <w:webHidden/>
          </w:rPr>
          <w:t>11</w:t>
        </w:r>
        <w:r w:rsidR="00990533">
          <w:rPr>
            <w:noProof/>
            <w:webHidden/>
          </w:rPr>
          <w:fldChar w:fldCharType="end"/>
        </w:r>
      </w:hyperlink>
    </w:p>
    <w:p w14:paraId="5ABE4BF9" w14:textId="39B061AB"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095" w:history="1">
        <w:r w:rsidR="00990533" w:rsidRPr="00C64961">
          <w:rPr>
            <w:rStyle w:val="Hyperlink"/>
            <w:noProof/>
          </w:rPr>
          <w:t>3.4.3 United States Food and Drug Administration (FDA)</w:t>
        </w:r>
        <w:r w:rsidR="00990533">
          <w:rPr>
            <w:noProof/>
            <w:webHidden/>
          </w:rPr>
          <w:tab/>
        </w:r>
        <w:r w:rsidR="00990533">
          <w:rPr>
            <w:noProof/>
            <w:webHidden/>
          </w:rPr>
          <w:fldChar w:fldCharType="begin"/>
        </w:r>
        <w:r w:rsidR="00990533">
          <w:rPr>
            <w:noProof/>
            <w:webHidden/>
          </w:rPr>
          <w:instrText xml:space="preserve"> PAGEREF _Toc526343095 \h </w:instrText>
        </w:r>
        <w:r w:rsidR="00990533">
          <w:rPr>
            <w:noProof/>
            <w:webHidden/>
          </w:rPr>
        </w:r>
        <w:r w:rsidR="00990533">
          <w:rPr>
            <w:noProof/>
            <w:webHidden/>
          </w:rPr>
          <w:fldChar w:fldCharType="separate"/>
        </w:r>
        <w:r w:rsidR="00893C3B">
          <w:rPr>
            <w:noProof/>
            <w:webHidden/>
          </w:rPr>
          <w:t>11</w:t>
        </w:r>
        <w:r w:rsidR="00990533">
          <w:rPr>
            <w:noProof/>
            <w:webHidden/>
          </w:rPr>
          <w:fldChar w:fldCharType="end"/>
        </w:r>
      </w:hyperlink>
    </w:p>
    <w:p w14:paraId="51757429" w14:textId="0F4F17A6"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96" w:history="1">
        <w:r w:rsidR="00990533" w:rsidRPr="00C64961">
          <w:rPr>
            <w:rStyle w:val="Hyperlink"/>
            <w:noProof/>
            <w:lang w:eastAsia="en-AU"/>
          </w:rPr>
          <w:t>3.5</w:t>
        </w:r>
        <w:r w:rsidR="00990533">
          <w:rPr>
            <w:rFonts w:eastAsiaTheme="minorEastAsia" w:cstheme="minorBidi"/>
            <w:smallCaps w:val="0"/>
            <w:noProof/>
            <w:sz w:val="22"/>
            <w:szCs w:val="22"/>
            <w:lang w:eastAsia="en-GB" w:bidi="ar-SA"/>
          </w:rPr>
          <w:tab/>
        </w:r>
        <w:r w:rsidR="00990533" w:rsidRPr="00C64961">
          <w:rPr>
            <w:rStyle w:val="Hyperlink"/>
            <w:noProof/>
            <w:lang w:eastAsia="en-AU"/>
          </w:rPr>
          <w:t>Hazard assessment discussion and conclusion</w:t>
        </w:r>
        <w:r w:rsidR="00990533">
          <w:rPr>
            <w:noProof/>
            <w:webHidden/>
          </w:rPr>
          <w:tab/>
        </w:r>
        <w:r w:rsidR="00990533">
          <w:rPr>
            <w:noProof/>
            <w:webHidden/>
          </w:rPr>
          <w:fldChar w:fldCharType="begin"/>
        </w:r>
        <w:r w:rsidR="00990533">
          <w:rPr>
            <w:noProof/>
            <w:webHidden/>
          </w:rPr>
          <w:instrText xml:space="preserve"> PAGEREF _Toc526343096 \h </w:instrText>
        </w:r>
        <w:r w:rsidR="00990533">
          <w:rPr>
            <w:noProof/>
            <w:webHidden/>
          </w:rPr>
        </w:r>
        <w:r w:rsidR="00990533">
          <w:rPr>
            <w:noProof/>
            <w:webHidden/>
          </w:rPr>
          <w:fldChar w:fldCharType="separate"/>
        </w:r>
        <w:r w:rsidR="00893C3B">
          <w:rPr>
            <w:noProof/>
            <w:webHidden/>
          </w:rPr>
          <w:t>11</w:t>
        </w:r>
        <w:r w:rsidR="00990533">
          <w:rPr>
            <w:noProof/>
            <w:webHidden/>
          </w:rPr>
          <w:fldChar w:fldCharType="end"/>
        </w:r>
      </w:hyperlink>
    </w:p>
    <w:p w14:paraId="21F62788" w14:textId="1C8C4DC8" w:rsidR="00990533" w:rsidRDefault="00BF5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43097" w:history="1">
        <w:r w:rsidR="00990533" w:rsidRPr="00C64961">
          <w:rPr>
            <w:rStyle w:val="Hyperlink"/>
            <w:noProof/>
          </w:rPr>
          <w:t>4</w:t>
        </w:r>
        <w:r w:rsidR="00990533">
          <w:rPr>
            <w:rFonts w:eastAsiaTheme="minorEastAsia" w:cstheme="minorBidi"/>
            <w:b w:val="0"/>
            <w:bCs w:val="0"/>
            <w:caps w:val="0"/>
            <w:noProof/>
            <w:sz w:val="22"/>
            <w:szCs w:val="22"/>
            <w:lang w:eastAsia="en-GB" w:bidi="ar-SA"/>
          </w:rPr>
          <w:tab/>
        </w:r>
        <w:r w:rsidR="00990533" w:rsidRPr="00C64961">
          <w:rPr>
            <w:rStyle w:val="Hyperlink"/>
            <w:noProof/>
          </w:rPr>
          <w:t>Dietary exposure assessment</w:t>
        </w:r>
        <w:r w:rsidR="00990533">
          <w:rPr>
            <w:noProof/>
            <w:webHidden/>
          </w:rPr>
          <w:tab/>
        </w:r>
        <w:r w:rsidR="00990533">
          <w:rPr>
            <w:noProof/>
            <w:webHidden/>
          </w:rPr>
          <w:fldChar w:fldCharType="begin"/>
        </w:r>
        <w:r w:rsidR="00990533">
          <w:rPr>
            <w:noProof/>
            <w:webHidden/>
          </w:rPr>
          <w:instrText xml:space="preserve"> PAGEREF _Toc526343097 \h </w:instrText>
        </w:r>
        <w:r w:rsidR="00990533">
          <w:rPr>
            <w:noProof/>
            <w:webHidden/>
          </w:rPr>
        </w:r>
        <w:r w:rsidR="00990533">
          <w:rPr>
            <w:noProof/>
            <w:webHidden/>
          </w:rPr>
          <w:fldChar w:fldCharType="separate"/>
        </w:r>
        <w:r w:rsidR="00893C3B">
          <w:rPr>
            <w:noProof/>
            <w:webHidden/>
          </w:rPr>
          <w:t>11</w:t>
        </w:r>
        <w:r w:rsidR="00990533">
          <w:rPr>
            <w:noProof/>
            <w:webHidden/>
          </w:rPr>
          <w:fldChar w:fldCharType="end"/>
        </w:r>
      </w:hyperlink>
    </w:p>
    <w:p w14:paraId="7B574FB0" w14:textId="4207906B"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098" w:history="1">
        <w:r w:rsidR="00990533" w:rsidRPr="00C64961">
          <w:rPr>
            <w:rStyle w:val="Hyperlink"/>
            <w:noProof/>
          </w:rPr>
          <w:t>4.1</w:t>
        </w:r>
        <w:r w:rsidR="00990533">
          <w:rPr>
            <w:rFonts w:eastAsiaTheme="minorEastAsia" w:cstheme="minorBidi"/>
            <w:smallCaps w:val="0"/>
            <w:noProof/>
            <w:sz w:val="22"/>
            <w:szCs w:val="22"/>
            <w:lang w:eastAsia="en-GB" w:bidi="ar-SA"/>
          </w:rPr>
          <w:tab/>
        </w:r>
        <w:r w:rsidR="00990533" w:rsidRPr="00C64961">
          <w:rPr>
            <w:rStyle w:val="Hyperlink"/>
            <w:noProof/>
          </w:rPr>
          <w:t>Objective for the dietary exposure assessment</w:t>
        </w:r>
        <w:r w:rsidR="00990533">
          <w:rPr>
            <w:noProof/>
            <w:webHidden/>
          </w:rPr>
          <w:tab/>
        </w:r>
        <w:r w:rsidR="00990533">
          <w:rPr>
            <w:noProof/>
            <w:webHidden/>
          </w:rPr>
          <w:fldChar w:fldCharType="begin"/>
        </w:r>
        <w:r w:rsidR="00990533">
          <w:rPr>
            <w:noProof/>
            <w:webHidden/>
          </w:rPr>
          <w:instrText xml:space="preserve"> PAGEREF _Toc526343098 \h </w:instrText>
        </w:r>
        <w:r w:rsidR="00990533">
          <w:rPr>
            <w:noProof/>
            <w:webHidden/>
          </w:rPr>
        </w:r>
        <w:r w:rsidR="00990533">
          <w:rPr>
            <w:noProof/>
            <w:webHidden/>
          </w:rPr>
          <w:fldChar w:fldCharType="separate"/>
        </w:r>
        <w:r w:rsidR="00893C3B">
          <w:rPr>
            <w:noProof/>
            <w:webHidden/>
          </w:rPr>
          <w:t>11</w:t>
        </w:r>
        <w:r w:rsidR="00990533">
          <w:rPr>
            <w:noProof/>
            <w:webHidden/>
          </w:rPr>
          <w:fldChar w:fldCharType="end"/>
        </w:r>
      </w:hyperlink>
    </w:p>
    <w:p w14:paraId="5F99177C" w14:textId="1C7AB5E5" w:rsidR="00990533" w:rsidRDefault="00BF587A">
      <w:pPr>
        <w:pStyle w:val="TOC2"/>
        <w:tabs>
          <w:tab w:val="right" w:leader="dot" w:pos="9060"/>
        </w:tabs>
        <w:rPr>
          <w:rFonts w:eastAsiaTheme="minorEastAsia" w:cstheme="minorBidi"/>
          <w:smallCaps w:val="0"/>
          <w:noProof/>
          <w:sz w:val="22"/>
          <w:szCs w:val="22"/>
          <w:lang w:eastAsia="en-GB" w:bidi="ar-SA"/>
        </w:rPr>
      </w:pPr>
      <w:hyperlink w:anchor="_Toc526343099" w:history="1">
        <w:r w:rsidR="00990533" w:rsidRPr="00C64961">
          <w:rPr>
            <w:rStyle w:val="Hyperlink"/>
            <w:noProof/>
          </w:rPr>
          <w:t>4.2  Approach to the dietary exposure assessment</w:t>
        </w:r>
        <w:r w:rsidR="00990533">
          <w:rPr>
            <w:noProof/>
            <w:webHidden/>
          </w:rPr>
          <w:tab/>
        </w:r>
        <w:r w:rsidR="00990533">
          <w:rPr>
            <w:noProof/>
            <w:webHidden/>
          </w:rPr>
          <w:fldChar w:fldCharType="begin"/>
        </w:r>
        <w:r w:rsidR="00990533">
          <w:rPr>
            <w:noProof/>
            <w:webHidden/>
          </w:rPr>
          <w:instrText xml:space="preserve"> PAGEREF _Toc526343099 \h </w:instrText>
        </w:r>
        <w:r w:rsidR="00990533">
          <w:rPr>
            <w:noProof/>
            <w:webHidden/>
          </w:rPr>
        </w:r>
        <w:r w:rsidR="00990533">
          <w:rPr>
            <w:noProof/>
            <w:webHidden/>
          </w:rPr>
          <w:fldChar w:fldCharType="separate"/>
        </w:r>
        <w:r w:rsidR="00893C3B">
          <w:rPr>
            <w:noProof/>
            <w:webHidden/>
          </w:rPr>
          <w:t>11</w:t>
        </w:r>
        <w:r w:rsidR="00990533">
          <w:rPr>
            <w:noProof/>
            <w:webHidden/>
          </w:rPr>
          <w:fldChar w:fldCharType="end"/>
        </w:r>
      </w:hyperlink>
    </w:p>
    <w:p w14:paraId="0F26D654" w14:textId="75673BCE"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0" w:history="1">
        <w:r w:rsidR="00990533" w:rsidRPr="00C64961">
          <w:rPr>
            <w:rStyle w:val="Hyperlink"/>
            <w:noProof/>
          </w:rPr>
          <w:t>4.2.1 Food consumption data used</w:t>
        </w:r>
        <w:r w:rsidR="00990533">
          <w:rPr>
            <w:noProof/>
            <w:webHidden/>
          </w:rPr>
          <w:tab/>
        </w:r>
        <w:r w:rsidR="00990533">
          <w:rPr>
            <w:noProof/>
            <w:webHidden/>
          </w:rPr>
          <w:fldChar w:fldCharType="begin"/>
        </w:r>
        <w:r w:rsidR="00990533">
          <w:rPr>
            <w:noProof/>
            <w:webHidden/>
          </w:rPr>
          <w:instrText xml:space="preserve"> PAGEREF _Toc526343100 \h </w:instrText>
        </w:r>
        <w:r w:rsidR="00990533">
          <w:rPr>
            <w:noProof/>
            <w:webHidden/>
          </w:rPr>
        </w:r>
        <w:r w:rsidR="00990533">
          <w:rPr>
            <w:noProof/>
            <w:webHidden/>
          </w:rPr>
          <w:fldChar w:fldCharType="separate"/>
        </w:r>
        <w:r w:rsidR="00893C3B">
          <w:rPr>
            <w:noProof/>
            <w:webHidden/>
          </w:rPr>
          <w:t>12</w:t>
        </w:r>
        <w:r w:rsidR="00990533">
          <w:rPr>
            <w:noProof/>
            <w:webHidden/>
          </w:rPr>
          <w:fldChar w:fldCharType="end"/>
        </w:r>
      </w:hyperlink>
    </w:p>
    <w:p w14:paraId="5FF905AB" w14:textId="67C89AF6"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1" w:history="1">
        <w:r w:rsidR="00990533" w:rsidRPr="00C64961">
          <w:rPr>
            <w:rStyle w:val="Hyperlink"/>
            <w:noProof/>
          </w:rPr>
          <w:t>4.2.2 Estimating dietary exposure to steviol glycosides</w:t>
        </w:r>
        <w:r w:rsidR="00990533">
          <w:rPr>
            <w:noProof/>
            <w:webHidden/>
          </w:rPr>
          <w:tab/>
        </w:r>
        <w:r w:rsidR="00990533">
          <w:rPr>
            <w:noProof/>
            <w:webHidden/>
          </w:rPr>
          <w:fldChar w:fldCharType="begin"/>
        </w:r>
        <w:r w:rsidR="00990533">
          <w:rPr>
            <w:noProof/>
            <w:webHidden/>
          </w:rPr>
          <w:instrText xml:space="preserve"> PAGEREF _Toc526343101 \h </w:instrText>
        </w:r>
        <w:r w:rsidR="00990533">
          <w:rPr>
            <w:noProof/>
            <w:webHidden/>
          </w:rPr>
        </w:r>
        <w:r w:rsidR="00990533">
          <w:rPr>
            <w:noProof/>
            <w:webHidden/>
          </w:rPr>
          <w:fldChar w:fldCharType="separate"/>
        </w:r>
        <w:r w:rsidR="00893C3B">
          <w:rPr>
            <w:noProof/>
            <w:webHidden/>
          </w:rPr>
          <w:t>13</w:t>
        </w:r>
        <w:r w:rsidR="00990533">
          <w:rPr>
            <w:noProof/>
            <w:webHidden/>
          </w:rPr>
          <w:fldChar w:fldCharType="end"/>
        </w:r>
      </w:hyperlink>
    </w:p>
    <w:p w14:paraId="6F5B50F4" w14:textId="5E6F0F26"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2" w:history="1">
        <w:r w:rsidR="00990533" w:rsidRPr="00C64961">
          <w:rPr>
            <w:rStyle w:val="Hyperlink"/>
            <w:noProof/>
          </w:rPr>
          <w:t>4.2.3 Initial estimate of baseline dietary exposure to steviol glycosides</w:t>
        </w:r>
        <w:r w:rsidR="00990533">
          <w:rPr>
            <w:noProof/>
            <w:webHidden/>
          </w:rPr>
          <w:tab/>
        </w:r>
        <w:r w:rsidR="00990533">
          <w:rPr>
            <w:noProof/>
            <w:webHidden/>
          </w:rPr>
          <w:fldChar w:fldCharType="begin"/>
        </w:r>
        <w:r w:rsidR="00990533">
          <w:rPr>
            <w:noProof/>
            <w:webHidden/>
          </w:rPr>
          <w:instrText xml:space="preserve"> PAGEREF _Toc526343102 \h </w:instrText>
        </w:r>
        <w:r w:rsidR="00990533">
          <w:rPr>
            <w:noProof/>
            <w:webHidden/>
          </w:rPr>
        </w:r>
        <w:r w:rsidR="00990533">
          <w:rPr>
            <w:noProof/>
            <w:webHidden/>
          </w:rPr>
          <w:fldChar w:fldCharType="separate"/>
        </w:r>
        <w:r w:rsidR="00893C3B">
          <w:rPr>
            <w:noProof/>
            <w:webHidden/>
          </w:rPr>
          <w:t>13</w:t>
        </w:r>
        <w:r w:rsidR="00990533">
          <w:rPr>
            <w:noProof/>
            <w:webHidden/>
          </w:rPr>
          <w:fldChar w:fldCharType="end"/>
        </w:r>
      </w:hyperlink>
    </w:p>
    <w:p w14:paraId="1D3D86B2" w14:textId="0A8F7AA7"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3" w:history="1">
        <w:r w:rsidR="00990533" w:rsidRPr="00C64961">
          <w:rPr>
            <w:rStyle w:val="Hyperlink"/>
            <w:noProof/>
          </w:rPr>
          <w:t>4.2.4 Refined estimate of dietary exposure to steviol glycosides</w:t>
        </w:r>
        <w:r w:rsidR="00990533">
          <w:rPr>
            <w:noProof/>
            <w:webHidden/>
          </w:rPr>
          <w:tab/>
        </w:r>
        <w:r w:rsidR="00990533">
          <w:rPr>
            <w:noProof/>
            <w:webHidden/>
          </w:rPr>
          <w:fldChar w:fldCharType="begin"/>
        </w:r>
        <w:r w:rsidR="00990533">
          <w:rPr>
            <w:noProof/>
            <w:webHidden/>
          </w:rPr>
          <w:instrText xml:space="preserve"> PAGEREF _Toc526343103 \h </w:instrText>
        </w:r>
        <w:r w:rsidR="00990533">
          <w:rPr>
            <w:noProof/>
            <w:webHidden/>
          </w:rPr>
        </w:r>
        <w:r w:rsidR="00990533">
          <w:rPr>
            <w:noProof/>
            <w:webHidden/>
          </w:rPr>
          <w:fldChar w:fldCharType="separate"/>
        </w:r>
        <w:r w:rsidR="00893C3B">
          <w:rPr>
            <w:noProof/>
            <w:webHidden/>
          </w:rPr>
          <w:t>14</w:t>
        </w:r>
        <w:r w:rsidR="00990533">
          <w:rPr>
            <w:noProof/>
            <w:webHidden/>
          </w:rPr>
          <w:fldChar w:fldCharType="end"/>
        </w:r>
      </w:hyperlink>
    </w:p>
    <w:p w14:paraId="5C651D6C" w14:textId="510742FF"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4" w:history="1">
        <w:r w:rsidR="00990533" w:rsidRPr="00C64961">
          <w:rPr>
            <w:rStyle w:val="Hyperlink"/>
            <w:noProof/>
          </w:rPr>
          <w:t>4.2.5 Brand loyalty</w:t>
        </w:r>
        <w:r w:rsidR="00990533">
          <w:rPr>
            <w:noProof/>
            <w:webHidden/>
          </w:rPr>
          <w:tab/>
        </w:r>
        <w:r w:rsidR="00990533">
          <w:rPr>
            <w:noProof/>
            <w:webHidden/>
          </w:rPr>
          <w:fldChar w:fldCharType="begin"/>
        </w:r>
        <w:r w:rsidR="00990533">
          <w:rPr>
            <w:noProof/>
            <w:webHidden/>
          </w:rPr>
          <w:instrText xml:space="preserve"> PAGEREF _Toc526343104 \h </w:instrText>
        </w:r>
        <w:r w:rsidR="00990533">
          <w:rPr>
            <w:noProof/>
            <w:webHidden/>
          </w:rPr>
        </w:r>
        <w:r w:rsidR="00990533">
          <w:rPr>
            <w:noProof/>
            <w:webHidden/>
          </w:rPr>
          <w:fldChar w:fldCharType="separate"/>
        </w:r>
        <w:r w:rsidR="00893C3B">
          <w:rPr>
            <w:noProof/>
            <w:webHidden/>
          </w:rPr>
          <w:t>18</w:t>
        </w:r>
        <w:r w:rsidR="00990533">
          <w:rPr>
            <w:noProof/>
            <w:webHidden/>
          </w:rPr>
          <w:fldChar w:fldCharType="end"/>
        </w:r>
      </w:hyperlink>
    </w:p>
    <w:p w14:paraId="2E26B25E" w14:textId="4D07F2FF"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5" w:history="1">
        <w:r w:rsidR="00990533" w:rsidRPr="00C64961">
          <w:rPr>
            <w:rStyle w:val="Hyperlink"/>
            <w:noProof/>
          </w:rPr>
          <w:t>4.2.6 Assumptions and limitations of the dietary exposure assessment</w:t>
        </w:r>
        <w:r w:rsidR="00990533">
          <w:rPr>
            <w:noProof/>
            <w:webHidden/>
          </w:rPr>
          <w:tab/>
        </w:r>
        <w:r w:rsidR="00990533">
          <w:rPr>
            <w:noProof/>
            <w:webHidden/>
          </w:rPr>
          <w:fldChar w:fldCharType="begin"/>
        </w:r>
        <w:r w:rsidR="00990533">
          <w:rPr>
            <w:noProof/>
            <w:webHidden/>
          </w:rPr>
          <w:instrText xml:space="preserve"> PAGEREF _Toc526343105 \h </w:instrText>
        </w:r>
        <w:r w:rsidR="00990533">
          <w:rPr>
            <w:noProof/>
            <w:webHidden/>
          </w:rPr>
        </w:r>
        <w:r w:rsidR="00990533">
          <w:rPr>
            <w:noProof/>
            <w:webHidden/>
          </w:rPr>
          <w:fldChar w:fldCharType="separate"/>
        </w:r>
        <w:r w:rsidR="00893C3B">
          <w:rPr>
            <w:noProof/>
            <w:webHidden/>
          </w:rPr>
          <w:t>18</w:t>
        </w:r>
        <w:r w:rsidR="00990533">
          <w:rPr>
            <w:noProof/>
            <w:webHidden/>
          </w:rPr>
          <w:fldChar w:fldCharType="end"/>
        </w:r>
      </w:hyperlink>
    </w:p>
    <w:p w14:paraId="1D959CD6" w14:textId="77941042"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106" w:history="1">
        <w:r w:rsidR="00990533" w:rsidRPr="00C64961">
          <w:rPr>
            <w:rStyle w:val="Hyperlink"/>
            <w:noProof/>
          </w:rPr>
          <w:t>4.3</w:t>
        </w:r>
        <w:r w:rsidR="00990533">
          <w:rPr>
            <w:rFonts w:eastAsiaTheme="minorEastAsia" w:cstheme="minorBidi"/>
            <w:smallCaps w:val="0"/>
            <w:noProof/>
            <w:sz w:val="22"/>
            <w:szCs w:val="22"/>
            <w:lang w:eastAsia="en-GB" w:bidi="ar-SA"/>
          </w:rPr>
          <w:tab/>
        </w:r>
        <w:r w:rsidR="00990533" w:rsidRPr="00C64961">
          <w:rPr>
            <w:rStyle w:val="Hyperlink"/>
            <w:noProof/>
          </w:rPr>
          <w:t>Dietary Exposure Assessment Results</w:t>
        </w:r>
        <w:r w:rsidR="00990533">
          <w:rPr>
            <w:noProof/>
            <w:webHidden/>
          </w:rPr>
          <w:tab/>
        </w:r>
        <w:r w:rsidR="00990533">
          <w:rPr>
            <w:noProof/>
            <w:webHidden/>
          </w:rPr>
          <w:fldChar w:fldCharType="begin"/>
        </w:r>
        <w:r w:rsidR="00990533">
          <w:rPr>
            <w:noProof/>
            <w:webHidden/>
          </w:rPr>
          <w:instrText xml:space="preserve"> PAGEREF _Toc526343106 \h </w:instrText>
        </w:r>
        <w:r w:rsidR="00990533">
          <w:rPr>
            <w:noProof/>
            <w:webHidden/>
          </w:rPr>
        </w:r>
        <w:r w:rsidR="00990533">
          <w:rPr>
            <w:noProof/>
            <w:webHidden/>
          </w:rPr>
          <w:fldChar w:fldCharType="separate"/>
        </w:r>
        <w:r w:rsidR="00893C3B">
          <w:rPr>
            <w:noProof/>
            <w:webHidden/>
          </w:rPr>
          <w:t>19</w:t>
        </w:r>
        <w:r w:rsidR="00990533">
          <w:rPr>
            <w:noProof/>
            <w:webHidden/>
          </w:rPr>
          <w:fldChar w:fldCharType="end"/>
        </w:r>
      </w:hyperlink>
    </w:p>
    <w:p w14:paraId="0FAE8BAC" w14:textId="789E194A"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7" w:history="1">
        <w:r w:rsidR="00990533" w:rsidRPr="00C64961">
          <w:rPr>
            <w:rStyle w:val="Hyperlink"/>
            <w:noProof/>
          </w:rPr>
          <w:t>4.3.1 Estimated Dietary exposure to steviol glycosides</w:t>
        </w:r>
        <w:r w:rsidR="00990533">
          <w:rPr>
            <w:noProof/>
            <w:webHidden/>
          </w:rPr>
          <w:tab/>
        </w:r>
        <w:r w:rsidR="00990533">
          <w:rPr>
            <w:noProof/>
            <w:webHidden/>
          </w:rPr>
          <w:fldChar w:fldCharType="begin"/>
        </w:r>
        <w:r w:rsidR="00990533">
          <w:rPr>
            <w:noProof/>
            <w:webHidden/>
          </w:rPr>
          <w:instrText xml:space="preserve"> PAGEREF _Toc526343107 \h </w:instrText>
        </w:r>
        <w:r w:rsidR="00990533">
          <w:rPr>
            <w:noProof/>
            <w:webHidden/>
          </w:rPr>
        </w:r>
        <w:r w:rsidR="00990533">
          <w:rPr>
            <w:noProof/>
            <w:webHidden/>
          </w:rPr>
          <w:fldChar w:fldCharType="separate"/>
        </w:r>
        <w:r w:rsidR="00893C3B">
          <w:rPr>
            <w:noProof/>
            <w:webHidden/>
          </w:rPr>
          <w:t>19</w:t>
        </w:r>
        <w:r w:rsidR="00990533">
          <w:rPr>
            <w:noProof/>
            <w:webHidden/>
          </w:rPr>
          <w:fldChar w:fldCharType="end"/>
        </w:r>
      </w:hyperlink>
    </w:p>
    <w:p w14:paraId="3630F55D" w14:textId="17DFD031" w:rsidR="00990533" w:rsidRDefault="00BF587A">
      <w:pPr>
        <w:pStyle w:val="TOC3"/>
        <w:tabs>
          <w:tab w:val="right" w:leader="dot" w:pos="9060"/>
        </w:tabs>
        <w:rPr>
          <w:rFonts w:eastAsiaTheme="minorEastAsia" w:cstheme="minorBidi"/>
          <w:i w:val="0"/>
          <w:iCs w:val="0"/>
          <w:noProof/>
          <w:sz w:val="22"/>
          <w:szCs w:val="22"/>
          <w:lang w:eastAsia="en-GB" w:bidi="ar-SA"/>
        </w:rPr>
      </w:pPr>
      <w:hyperlink w:anchor="_Toc526343108" w:history="1">
        <w:r w:rsidR="00990533" w:rsidRPr="00C64961">
          <w:rPr>
            <w:rStyle w:val="Hyperlink"/>
            <w:noProof/>
          </w:rPr>
          <w:t>4.3.2 Foods where steviol glycosides are permitted that contribute to exposure</w:t>
        </w:r>
        <w:r w:rsidR="00990533">
          <w:rPr>
            <w:noProof/>
            <w:webHidden/>
          </w:rPr>
          <w:tab/>
        </w:r>
        <w:r w:rsidR="00990533">
          <w:rPr>
            <w:noProof/>
            <w:webHidden/>
          </w:rPr>
          <w:fldChar w:fldCharType="begin"/>
        </w:r>
        <w:r w:rsidR="00990533">
          <w:rPr>
            <w:noProof/>
            <w:webHidden/>
          </w:rPr>
          <w:instrText xml:space="preserve"> PAGEREF _Toc526343108 \h </w:instrText>
        </w:r>
        <w:r w:rsidR="00990533">
          <w:rPr>
            <w:noProof/>
            <w:webHidden/>
          </w:rPr>
        </w:r>
        <w:r w:rsidR="00990533">
          <w:rPr>
            <w:noProof/>
            <w:webHidden/>
          </w:rPr>
          <w:fldChar w:fldCharType="separate"/>
        </w:r>
        <w:r w:rsidR="00893C3B">
          <w:rPr>
            <w:noProof/>
            <w:webHidden/>
          </w:rPr>
          <w:t>19</w:t>
        </w:r>
        <w:r w:rsidR="00990533">
          <w:rPr>
            <w:noProof/>
            <w:webHidden/>
          </w:rPr>
          <w:fldChar w:fldCharType="end"/>
        </w:r>
      </w:hyperlink>
    </w:p>
    <w:p w14:paraId="0F41CD40" w14:textId="15ECE8BC" w:rsidR="00990533" w:rsidRDefault="00BF587A">
      <w:pPr>
        <w:pStyle w:val="TOC2"/>
        <w:tabs>
          <w:tab w:val="left" w:pos="880"/>
          <w:tab w:val="right" w:leader="dot" w:pos="9060"/>
        </w:tabs>
        <w:rPr>
          <w:rFonts w:eastAsiaTheme="minorEastAsia" w:cstheme="minorBidi"/>
          <w:smallCaps w:val="0"/>
          <w:noProof/>
          <w:sz w:val="22"/>
          <w:szCs w:val="22"/>
          <w:lang w:eastAsia="en-GB" w:bidi="ar-SA"/>
        </w:rPr>
      </w:pPr>
      <w:hyperlink w:anchor="_Toc526343109" w:history="1">
        <w:r w:rsidR="00990533" w:rsidRPr="00C64961">
          <w:rPr>
            <w:rStyle w:val="Hyperlink"/>
            <w:noProof/>
          </w:rPr>
          <w:t>4.4</w:t>
        </w:r>
        <w:r w:rsidR="00990533">
          <w:rPr>
            <w:rFonts w:eastAsiaTheme="minorEastAsia" w:cstheme="minorBidi"/>
            <w:smallCaps w:val="0"/>
            <w:noProof/>
            <w:sz w:val="22"/>
            <w:szCs w:val="22"/>
            <w:lang w:eastAsia="en-GB" w:bidi="ar-SA"/>
          </w:rPr>
          <w:tab/>
        </w:r>
        <w:r w:rsidR="00990533" w:rsidRPr="00C64961">
          <w:rPr>
            <w:rStyle w:val="Hyperlink"/>
            <w:noProof/>
          </w:rPr>
          <w:t>Dietary exposure assessment summary</w:t>
        </w:r>
        <w:r w:rsidR="00990533">
          <w:rPr>
            <w:noProof/>
            <w:webHidden/>
          </w:rPr>
          <w:tab/>
        </w:r>
        <w:r w:rsidR="00990533">
          <w:rPr>
            <w:noProof/>
            <w:webHidden/>
          </w:rPr>
          <w:fldChar w:fldCharType="begin"/>
        </w:r>
        <w:r w:rsidR="00990533">
          <w:rPr>
            <w:noProof/>
            <w:webHidden/>
          </w:rPr>
          <w:instrText xml:space="preserve"> PAGEREF _Toc526343109 \h </w:instrText>
        </w:r>
        <w:r w:rsidR="00990533">
          <w:rPr>
            <w:noProof/>
            <w:webHidden/>
          </w:rPr>
        </w:r>
        <w:r w:rsidR="00990533">
          <w:rPr>
            <w:noProof/>
            <w:webHidden/>
          </w:rPr>
          <w:fldChar w:fldCharType="separate"/>
        </w:r>
        <w:r w:rsidR="00893C3B">
          <w:rPr>
            <w:noProof/>
            <w:webHidden/>
          </w:rPr>
          <w:t>21</w:t>
        </w:r>
        <w:r w:rsidR="00990533">
          <w:rPr>
            <w:noProof/>
            <w:webHidden/>
          </w:rPr>
          <w:fldChar w:fldCharType="end"/>
        </w:r>
      </w:hyperlink>
    </w:p>
    <w:p w14:paraId="6A6BC945" w14:textId="437873AA" w:rsidR="00990533" w:rsidRDefault="00BF587A">
      <w:pPr>
        <w:pStyle w:val="TOC1"/>
        <w:tabs>
          <w:tab w:val="right" w:leader="dot" w:pos="9060"/>
        </w:tabs>
        <w:rPr>
          <w:rFonts w:eastAsiaTheme="minorEastAsia" w:cstheme="minorBidi"/>
          <w:b w:val="0"/>
          <w:bCs w:val="0"/>
          <w:caps w:val="0"/>
          <w:noProof/>
          <w:sz w:val="22"/>
          <w:szCs w:val="22"/>
          <w:lang w:eastAsia="en-GB" w:bidi="ar-SA"/>
        </w:rPr>
      </w:pPr>
      <w:hyperlink w:anchor="_Toc526343110" w:history="1">
        <w:r w:rsidR="00990533" w:rsidRPr="00C64961">
          <w:rPr>
            <w:rStyle w:val="Hyperlink"/>
            <w:rFonts w:eastAsiaTheme="majorEastAsia"/>
            <w:noProof/>
          </w:rPr>
          <w:t>5 Risk characterisation and conclusion</w:t>
        </w:r>
        <w:r w:rsidR="00990533">
          <w:rPr>
            <w:noProof/>
            <w:webHidden/>
          </w:rPr>
          <w:tab/>
        </w:r>
        <w:r w:rsidR="00990533">
          <w:rPr>
            <w:noProof/>
            <w:webHidden/>
          </w:rPr>
          <w:fldChar w:fldCharType="begin"/>
        </w:r>
        <w:r w:rsidR="00990533">
          <w:rPr>
            <w:noProof/>
            <w:webHidden/>
          </w:rPr>
          <w:instrText xml:space="preserve"> PAGEREF _Toc526343110 \h </w:instrText>
        </w:r>
        <w:r w:rsidR="00990533">
          <w:rPr>
            <w:noProof/>
            <w:webHidden/>
          </w:rPr>
        </w:r>
        <w:r w:rsidR="00990533">
          <w:rPr>
            <w:noProof/>
            <w:webHidden/>
          </w:rPr>
          <w:fldChar w:fldCharType="separate"/>
        </w:r>
        <w:r w:rsidR="00893C3B">
          <w:rPr>
            <w:noProof/>
            <w:webHidden/>
          </w:rPr>
          <w:t>22</w:t>
        </w:r>
        <w:r w:rsidR="00990533">
          <w:rPr>
            <w:noProof/>
            <w:webHidden/>
          </w:rPr>
          <w:fldChar w:fldCharType="end"/>
        </w:r>
      </w:hyperlink>
    </w:p>
    <w:p w14:paraId="44153EAC" w14:textId="5A5FC253" w:rsidR="00990533" w:rsidRDefault="00BF587A">
      <w:pPr>
        <w:pStyle w:val="TOC1"/>
        <w:tabs>
          <w:tab w:val="right" w:leader="dot" w:pos="9060"/>
        </w:tabs>
        <w:rPr>
          <w:rFonts w:eastAsiaTheme="minorEastAsia" w:cstheme="minorBidi"/>
          <w:b w:val="0"/>
          <w:bCs w:val="0"/>
          <w:caps w:val="0"/>
          <w:noProof/>
          <w:sz w:val="22"/>
          <w:szCs w:val="22"/>
          <w:lang w:eastAsia="en-GB" w:bidi="ar-SA"/>
        </w:rPr>
      </w:pPr>
      <w:hyperlink w:anchor="_Toc526343111" w:history="1">
        <w:r w:rsidR="00990533" w:rsidRPr="00C64961">
          <w:rPr>
            <w:rStyle w:val="Hyperlink"/>
            <w:noProof/>
          </w:rPr>
          <w:t>6 References</w:t>
        </w:r>
        <w:r w:rsidR="00990533">
          <w:rPr>
            <w:noProof/>
            <w:webHidden/>
          </w:rPr>
          <w:tab/>
        </w:r>
        <w:r w:rsidR="00990533">
          <w:rPr>
            <w:noProof/>
            <w:webHidden/>
          </w:rPr>
          <w:fldChar w:fldCharType="begin"/>
        </w:r>
        <w:r w:rsidR="00990533">
          <w:rPr>
            <w:noProof/>
            <w:webHidden/>
          </w:rPr>
          <w:instrText xml:space="preserve"> PAGEREF _Toc526343111 \h </w:instrText>
        </w:r>
        <w:r w:rsidR="00990533">
          <w:rPr>
            <w:noProof/>
            <w:webHidden/>
          </w:rPr>
        </w:r>
        <w:r w:rsidR="00990533">
          <w:rPr>
            <w:noProof/>
            <w:webHidden/>
          </w:rPr>
          <w:fldChar w:fldCharType="separate"/>
        </w:r>
        <w:r w:rsidR="00893C3B">
          <w:rPr>
            <w:noProof/>
            <w:webHidden/>
          </w:rPr>
          <w:t>24</w:t>
        </w:r>
        <w:r w:rsidR="00990533">
          <w:rPr>
            <w:noProof/>
            <w:webHidden/>
          </w:rPr>
          <w:fldChar w:fldCharType="end"/>
        </w:r>
      </w:hyperlink>
    </w:p>
    <w:p w14:paraId="7E1227D2" w14:textId="1A9EAD91" w:rsidR="00990533" w:rsidRDefault="00BF587A">
      <w:pPr>
        <w:pStyle w:val="TOC1"/>
        <w:tabs>
          <w:tab w:val="right" w:leader="dot" w:pos="9060"/>
        </w:tabs>
        <w:rPr>
          <w:rFonts w:eastAsiaTheme="minorEastAsia" w:cstheme="minorBidi"/>
          <w:b w:val="0"/>
          <w:bCs w:val="0"/>
          <w:caps w:val="0"/>
          <w:noProof/>
          <w:sz w:val="22"/>
          <w:szCs w:val="22"/>
          <w:lang w:eastAsia="en-GB" w:bidi="ar-SA"/>
        </w:rPr>
      </w:pPr>
      <w:hyperlink w:anchor="_Toc526343112" w:history="1">
        <w:r w:rsidR="00990533" w:rsidRPr="00C64961">
          <w:rPr>
            <w:rStyle w:val="Hyperlink"/>
            <w:noProof/>
          </w:rPr>
          <w:t>Appendix 1 Dietary Exposure Assessments at FSANZ</w:t>
        </w:r>
        <w:r w:rsidR="00990533">
          <w:rPr>
            <w:noProof/>
            <w:webHidden/>
          </w:rPr>
          <w:tab/>
        </w:r>
        <w:r w:rsidR="00990533">
          <w:rPr>
            <w:noProof/>
            <w:webHidden/>
          </w:rPr>
          <w:fldChar w:fldCharType="begin"/>
        </w:r>
        <w:r w:rsidR="00990533">
          <w:rPr>
            <w:noProof/>
            <w:webHidden/>
          </w:rPr>
          <w:instrText xml:space="preserve"> PAGEREF _Toc526343112 \h </w:instrText>
        </w:r>
        <w:r w:rsidR="00990533">
          <w:rPr>
            <w:noProof/>
            <w:webHidden/>
          </w:rPr>
        </w:r>
        <w:r w:rsidR="00990533">
          <w:rPr>
            <w:noProof/>
            <w:webHidden/>
          </w:rPr>
          <w:fldChar w:fldCharType="separate"/>
        </w:r>
        <w:r w:rsidR="00893C3B">
          <w:rPr>
            <w:noProof/>
            <w:webHidden/>
          </w:rPr>
          <w:t>26</w:t>
        </w:r>
        <w:r w:rsidR="00990533">
          <w:rPr>
            <w:noProof/>
            <w:webHidden/>
          </w:rPr>
          <w:fldChar w:fldCharType="end"/>
        </w:r>
      </w:hyperlink>
    </w:p>
    <w:p w14:paraId="198E8D3E" w14:textId="354B1168" w:rsidR="00990533" w:rsidRDefault="00BF587A">
      <w:pPr>
        <w:pStyle w:val="TOC2"/>
        <w:tabs>
          <w:tab w:val="right" w:leader="dot" w:pos="9060"/>
        </w:tabs>
        <w:rPr>
          <w:rFonts w:eastAsiaTheme="minorEastAsia" w:cstheme="minorBidi"/>
          <w:smallCaps w:val="0"/>
          <w:noProof/>
          <w:sz w:val="22"/>
          <w:szCs w:val="22"/>
          <w:lang w:eastAsia="en-GB" w:bidi="ar-SA"/>
        </w:rPr>
      </w:pPr>
      <w:hyperlink w:anchor="_Toc526343113" w:history="1">
        <w:r w:rsidR="00990533" w:rsidRPr="00C64961">
          <w:rPr>
            <w:rStyle w:val="Hyperlink"/>
            <w:noProof/>
          </w:rPr>
          <w:t>1.1 Food consumption data used</w:t>
        </w:r>
        <w:r w:rsidR="00990533">
          <w:rPr>
            <w:noProof/>
            <w:webHidden/>
          </w:rPr>
          <w:tab/>
        </w:r>
        <w:r w:rsidR="00990533">
          <w:rPr>
            <w:noProof/>
            <w:webHidden/>
          </w:rPr>
          <w:fldChar w:fldCharType="begin"/>
        </w:r>
        <w:r w:rsidR="00990533">
          <w:rPr>
            <w:noProof/>
            <w:webHidden/>
          </w:rPr>
          <w:instrText xml:space="preserve"> PAGEREF _Toc526343113 \h </w:instrText>
        </w:r>
        <w:r w:rsidR="00990533">
          <w:rPr>
            <w:noProof/>
            <w:webHidden/>
          </w:rPr>
        </w:r>
        <w:r w:rsidR="00990533">
          <w:rPr>
            <w:noProof/>
            <w:webHidden/>
          </w:rPr>
          <w:fldChar w:fldCharType="separate"/>
        </w:r>
        <w:r w:rsidR="00893C3B">
          <w:rPr>
            <w:noProof/>
            <w:webHidden/>
          </w:rPr>
          <w:t>26</w:t>
        </w:r>
        <w:r w:rsidR="00990533">
          <w:rPr>
            <w:noProof/>
            <w:webHidden/>
          </w:rPr>
          <w:fldChar w:fldCharType="end"/>
        </w:r>
      </w:hyperlink>
    </w:p>
    <w:p w14:paraId="0CCD3102" w14:textId="1CE0EEEC" w:rsidR="00990533" w:rsidRDefault="00BF587A">
      <w:pPr>
        <w:pStyle w:val="TOC3"/>
        <w:tabs>
          <w:tab w:val="left" w:pos="1100"/>
          <w:tab w:val="right" w:leader="dot" w:pos="9060"/>
        </w:tabs>
        <w:rPr>
          <w:rFonts w:eastAsiaTheme="minorEastAsia" w:cstheme="minorBidi"/>
          <w:i w:val="0"/>
          <w:iCs w:val="0"/>
          <w:noProof/>
          <w:sz w:val="22"/>
          <w:szCs w:val="22"/>
          <w:lang w:eastAsia="en-GB" w:bidi="ar-SA"/>
        </w:rPr>
      </w:pPr>
      <w:hyperlink w:anchor="_Toc526343114" w:history="1">
        <w:r w:rsidR="00990533" w:rsidRPr="00C64961">
          <w:rPr>
            <w:rStyle w:val="Hyperlink"/>
            <w:noProof/>
          </w:rPr>
          <w:t>1.1.1</w:t>
        </w:r>
        <w:r w:rsidR="00990533">
          <w:rPr>
            <w:rFonts w:eastAsiaTheme="minorEastAsia" w:cstheme="minorBidi"/>
            <w:i w:val="0"/>
            <w:iCs w:val="0"/>
            <w:noProof/>
            <w:sz w:val="22"/>
            <w:szCs w:val="22"/>
            <w:lang w:eastAsia="en-GB" w:bidi="ar-SA"/>
          </w:rPr>
          <w:tab/>
        </w:r>
        <w:r w:rsidR="00990533" w:rsidRPr="00C64961">
          <w:rPr>
            <w:rStyle w:val="Hyperlink"/>
            <w:noProof/>
          </w:rPr>
          <w:t>2011–12 Australian National Nutrition and Physical Activity Survey (2011-12 NNPAS)</w:t>
        </w:r>
        <w:r w:rsidR="00990533">
          <w:rPr>
            <w:noProof/>
            <w:webHidden/>
          </w:rPr>
          <w:tab/>
        </w:r>
        <w:r w:rsidR="00990533">
          <w:rPr>
            <w:noProof/>
            <w:webHidden/>
          </w:rPr>
          <w:fldChar w:fldCharType="begin"/>
        </w:r>
        <w:r w:rsidR="00990533">
          <w:rPr>
            <w:noProof/>
            <w:webHidden/>
          </w:rPr>
          <w:instrText xml:space="preserve"> PAGEREF _Toc526343114 \h </w:instrText>
        </w:r>
        <w:r w:rsidR="00990533">
          <w:rPr>
            <w:noProof/>
            <w:webHidden/>
          </w:rPr>
        </w:r>
        <w:r w:rsidR="00990533">
          <w:rPr>
            <w:noProof/>
            <w:webHidden/>
          </w:rPr>
          <w:fldChar w:fldCharType="separate"/>
        </w:r>
        <w:r w:rsidR="00893C3B">
          <w:rPr>
            <w:noProof/>
            <w:webHidden/>
          </w:rPr>
          <w:t>27</w:t>
        </w:r>
        <w:r w:rsidR="00990533">
          <w:rPr>
            <w:noProof/>
            <w:webHidden/>
          </w:rPr>
          <w:fldChar w:fldCharType="end"/>
        </w:r>
      </w:hyperlink>
    </w:p>
    <w:p w14:paraId="36DDD705" w14:textId="6F251479" w:rsidR="00990533" w:rsidRDefault="00BF587A">
      <w:pPr>
        <w:pStyle w:val="TOC3"/>
        <w:tabs>
          <w:tab w:val="left" w:pos="1100"/>
          <w:tab w:val="right" w:leader="dot" w:pos="9060"/>
        </w:tabs>
        <w:rPr>
          <w:rFonts w:eastAsiaTheme="minorEastAsia" w:cstheme="minorBidi"/>
          <w:i w:val="0"/>
          <w:iCs w:val="0"/>
          <w:noProof/>
          <w:sz w:val="22"/>
          <w:szCs w:val="22"/>
          <w:lang w:eastAsia="en-GB" w:bidi="ar-SA"/>
        </w:rPr>
      </w:pPr>
      <w:hyperlink w:anchor="_Toc526343115" w:history="1">
        <w:r w:rsidR="00990533" w:rsidRPr="00C64961">
          <w:rPr>
            <w:rStyle w:val="Hyperlink"/>
            <w:noProof/>
          </w:rPr>
          <w:t>1.1.2</w:t>
        </w:r>
        <w:r w:rsidR="00990533">
          <w:rPr>
            <w:rFonts w:eastAsiaTheme="minorEastAsia" w:cstheme="minorBidi"/>
            <w:i w:val="0"/>
            <w:iCs w:val="0"/>
            <w:noProof/>
            <w:sz w:val="22"/>
            <w:szCs w:val="22"/>
            <w:lang w:eastAsia="en-GB" w:bidi="ar-SA"/>
          </w:rPr>
          <w:tab/>
        </w:r>
        <w:r w:rsidR="00990533" w:rsidRPr="00C64961">
          <w:rPr>
            <w:rStyle w:val="Hyperlink"/>
            <w:noProof/>
          </w:rPr>
          <w:t>2002 New Zealand National Children’s Nutrition Survey (2002 NZ CNS)</w:t>
        </w:r>
        <w:r w:rsidR="00990533">
          <w:rPr>
            <w:noProof/>
            <w:webHidden/>
          </w:rPr>
          <w:tab/>
        </w:r>
        <w:r w:rsidR="00990533">
          <w:rPr>
            <w:noProof/>
            <w:webHidden/>
          </w:rPr>
          <w:fldChar w:fldCharType="begin"/>
        </w:r>
        <w:r w:rsidR="00990533">
          <w:rPr>
            <w:noProof/>
            <w:webHidden/>
          </w:rPr>
          <w:instrText xml:space="preserve"> PAGEREF _Toc526343115 \h </w:instrText>
        </w:r>
        <w:r w:rsidR="00990533">
          <w:rPr>
            <w:noProof/>
            <w:webHidden/>
          </w:rPr>
        </w:r>
        <w:r w:rsidR="00990533">
          <w:rPr>
            <w:noProof/>
            <w:webHidden/>
          </w:rPr>
          <w:fldChar w:fldCharType="separate"/>
        </w:r>
        <w:r w:rsidR="00893C3B">
          <w:rPr>
            <w:noProof/>
            <w:webHidden/>
          </w:rPr>
          <w:t>27</w:t>
        </w:r>
        <w:r w:rsidR="00990533">
          <w:rPr>
            <w:noProof/>
            <w:webHidden/>
          </w:rPr>
          <w:fldChar w:fldCharType="end"/>
        </w:r>
      </w:hyperlink>
    </w:p>
    <w:p w14:paraId="778EA49E" w14:textId="21CB219D" w:rsidR="00990533" w:rsidRDefault="00BF587A">
      <w:pPr>
        <w:pStyle w:val="TOC3"/>
        <w:tabs>
          <w:tab w:val="left" w:pos="1100"/>
          <w:tab w:val="right" w:leader="dot" w:pos="9060"/>
        </w:tabs>
        <w:rPr>
          <w:rFonts w:eastAsiaTheme="minorEastAsia" w:cstheme="minorBidi"/>
          <w:i w:val="0"/>
          <w:iCs w:val="0"/>
          <w:noProof/>
          <w:sz w:val="22"/>
          <w:szCs w:val="22"/>
          <w:lang w:eastAsia="en-GB" w:bidi="ar-SA"/>
        </w:rPr>
      </w:pPr>
      <w:hyperlink w:anchor="_Toc526343116" w:history="1">
        <w:r w:rsidR="00990533" w:rsidRPr="00C64961">
          <w:rPr>
            <w:rStyle w:val="Hyperlink"/>
            <w:rFonts w:eastAsia="Calibri"/>
            <w:noProof/>
          </w:rPr>
          <w:t>1.1.3</w:t>
        </w:r>
        <w:r w:rsidR="00990533">
          <w:rPr>
            <w:rFonts w:eastAsiaTheme="minorEastAsia" w:cstheme="minorBidi"/>
            <w:i w:val="0"/>
            <w:iCs w:val="0"/>
            <w:noProof/>
            <w:sz w:val="22"/>
            <w:szCs w:val="22"/>
            <w:lang w:eastAsia="en-GB" w:bidi="ar-SA"/>
          </w:rPr>
          <w:tab/>
        </w:r>
        <w:r w:rsidR="00990533" w:rsidRPr="00C64961">
          <w:rPr>
            <w:rStyle w:val="Hyperlink"/>
            <w:rFonts w:eastAsia="Calibri"/>
            <w:noProof/>
          </w:rPr>
          <w:t>2008-09 New Zealand Adult Nutrition Survey (2008 NZ ANS)</w:t>
        </w:r>
        <w:r w:rsidR="00990533">
          <w:rPr>
            <w:noProof/>
            <w:webHidden/>
          </w:rPr>
          <w:tab/>
        </w:r>
        <w:r w:rsidR="00990533">
          <w:rPr>
            <w:noProof/>
            <w:webHidden/>
          </w:rPr>
          <w:fldChar w:fldCharType="begin"/>
        </w:r>
        <w:r w:rsidR="00990533">
          <w:rPr>
            <w:noProof/>
            <w:webHidden/>
          </w:rPr>
          <w:instrText xml:space="preserve"> PAGEREF _Toc526343116 \h </w:instrText>
        </w:r>
        <w:r w:rsidR="00990533">
          <w:rPr>
            <w:noProof/>
            <w:webHidden/>
          </w:rPr>
        </w:r>
        <w:r w:rsidR="00990533">
          <w:rPr>
            <w:noProof/>
            <w:webHidden/>
          </w:rPr>
          <w:fldChar w:fldCharType="separate"/>
        </w:r>
        <w:r w:rsidR="00893C3B">
          <w:rPr>
            <w:noProof/>
            <w:webHidden/>
          </w:rPr>
          <w:t>27</w:t>
        </w:r>
        <w:r w:rsidR="00990533">
          <w:rPr>
            <w:noProof/>
            <w:webHidden/>
          </w:rPr>
          <w:fldChar w:fldCharType="end"/>
        </w:r>
      </w:hyperlink>
    </w:p>
    <w:p w14:paraId="364E3E61" w14:textId="78185EBD" w:rsidR="00990533" w:rsidRDefault="00BF587A">
      <w:pPr>
        <w:pStyle w:val="TOC2"/>
        <w:tabs>
          <w:tab w:val="right" w:leader="dot" w:pos="9060"/>
        </w:tabs>
        <w:rPr>
          <w:rFonts w:eastAsiaTheme="minorEastAsia" w:cstheme="minorBidi"/>
          <w:smallCaps w:val="0"/>
          <w:noProof/>
          <w:sz w:val="22"/>
          <w:szCs w:val="22"/>
          <w:lang w:eastAsia="en-GB" w:bidi="ar-SA"/>
        </w:rPr>
      </w:pPr>
      <w:hyperlink w:anchor="_Toc526343117" w:history="1">
        <w:r w:rsidR="00990533" w:rsidRPr="00C64961">
          <w:rPr>
            <w:rStyle w:val="Hyperlink"/>
            <w:noProof/>
          </w:rPr>
          <w:t>1.2 Limitations of dietary exposure assessments</w:t>
        </w:r>
        <w:r w:rsidR="00990533">
          <w:rPr>
            <w:noProof/>
            <w:webHidden/>
          </w:rPr>
          <w:tab/>
        </w:r>
        <w:r w:rsidR="00990533">
          <w:rPr>
            <w:noProof/>
            <w:webHidden/>
          </w:rPr>
          <w:fldChar w:fldCharType="begin"/>
        </w:r>
        <w:r w:rsidR="00990533">
          <w:rPr>
            <w:noProof/>
            <w:webHidden/>
          </w:rPr>
          <w:instrText xml:space="preserve"> PAGEREF _Toc526343117 \h </w:instrText>
        </w:r>
        <w:r w:rsidR="00990533">
          <w:rPr>
            <w:noProof/>
            <w:webHidden/>
          </w:rPr>
        </w:r>
        <w:r w:rsidR="00990533">
          <w:rPr>
            <w:noProof/>
            <w:webHidden/>
          </w:rPr>
          <w:fldChar w:fldCharType="separate"/>
        </w:r>
        <w:r w:rsidR="00893C3B">
          <w:rPr>
            <w:noProof/>
            <w:webHidden/>
          </w:rPr>
          <w:t>27</w:t>
        </w:r>
        <w:r w:rsidR="00990533">
          <w:rPr>
            <w:noProof/>
            <w:webHidden/>
          </w:rPr>
          <w:fldChar w:fldCharType="end"/>
        </w:r>
      </w:hyperlink>
    </w:p>
    <w:p w14:paraId="72BBE82D" w14:textId="06744192" w:rsidR="00990533" w:rsidRDefault="00BF587A">
      <w:pPr>
        <w:pStyle w:val="TOC1"/>
        <w:tabs>
          <w:tab w:val="right" w:leader="dot" w:pos="9060"/>
        </w:tabs>
        <w:rPr>
          <w:rFonts w:eastAsiaTheme="minorEastAsia" w:cstheme="minorBidi"/>
          <w:b w:val="0"/>
          <w:bCs w:val="0"/>
          <w:caps w:val="0"/>
          <w:noProof/>
          <w:sz w:val="22"/>
          <w:szCs w:val="22"/>
          <w:lang w:eastAsia="en-GB" w:bidi="ar-SA"/>
        </w:rPr>
      </w:pPr>
      <w:hyperlink w:anchor="_Toc526343118" w:history="1">
        <w:r w:rsidR="00990533" w:rsidRPr="00C64961">
          <w:rPr>
            <w:rStyle w:val="Hyperlink"/>
            <w:noProof/>
          </w:rPr>
          <w:t>Appendix 2 Dietary Exposure Assessment Results</w:t>
        </w:r>
        <w:r w:rsidR="00990533">
          <w:rPr>
            <w:noProof/>
            <w:webHidden/>
          </w:rPr>
          <w:tab/>
        </w:r>
        <w:r w:rsidR="00990533">
          <w:rPr>
            <w:noProof/>
            <w:webHidden/>
          </w:rPr>
          <w:fldChar w:fldCharType="begin"/>
        </w:r>
        <w:r w:rsidR="00990533">
          <w:rPr>
            <w:noProof/>
            <w:webHidden/>
          </w:rPr>
          <w:instrText xml:space="preserve"> PAGEREF _Toc526343118 \h </w:instrText>
        </w:r>
        <w:r w:rsidR="00990533">
          <w:rPr>
            <w:noProof/>
            <w:webHidden/>
          </w:rPr>
        </w:r>
        <w:r w:rsidR="00990533">
          <w:rPr>
            <w:noProof/>
            <w:webHidden/>
          </w:rPr>
          <w:fldChar w:fldCharType="separate"/>
        </w:r>
        <w:r w:rsidR="00893C3B">
          <w:rPr>
            <w:noProof/>
            <w:webHidden/>
          </w:rPr>
          <w:t>28</w:t>
        </w:r>
        <w:r w:rsidR="00990533">
          <w:rPr>
            <w:noProof/>
            <w:webHidden/>
          </w:rPr>
          <w:fldChar w:fldCharType="end"/>
        </w:r>
      </w:hyperlink>
    </w:p>
    <w:p w14:paraId="1AB73D53" w14:textId="2E6A549B" w:rsidR="00051ED9" w:rsidRDefault="00326D85" w:rsidP="004F05B1">
      <w:r>
        <w:lastRenderedPageBreak/>
        <w:fldChar w:fldCharType="end"/>
      </w:r>
    </w:p>
    <w:p w14:paraId="68207F10" w14:textId="5F7A7319" w:rsidR="00443880" w:rsidRDefault="00724574" w:rsidP="0043053C">
      <w:pPr>
        <w:pStyle w:val="Heading1"/>
        <w:widowControl/>
        <w:numPr>
          <w:ilvl w:val="0"/>
          <w:numId w:val="12"/>
        </w:numPr>
        <w:spacing w:before="0"/>
      </w:pPr>
      <w:r w:rsidRPr="00724574">
        <w:t xml:space="preserve"> </w:t>
      </w:r>
      <w:bookmarkStart w:id="8" w:name="_Toc522718977"/>
      <w:bookmarkStart w:id="9" w:name="_Toc522712015"/>
      <w:bookmarkStart w:id="10" w:name="_Toc523830649"/>
      <w:bookmarkStart w:id="11" w:name="_Toc526337814"/>
      <w:bookmarkStart w:id="12" w:name="_Toc526343073"/>
      <w:r w:rsidR="00443880">
        <w:t>Introduction</w:t>
      </w:r>
      <w:bookmarkEnd w:id="8"/>
      <w:bookmarkEnd w:id="9"/>
      <w:bookmarkEnd w:id="10"/>
      <w:bookmarkEnd w:id="11"/>
      <w:bookmarkEnd w:id="12"/>
    </w:p>
    <w:p w14:paraId="779E6B15" w14:textId="6AC5853C" w:rsidR="006C6C4B" w:rsidRDefault="006C6C4B" w:rsidP="006C6C4B">
      <w:pPr>
        <w:rPr>
          <w:lang w:bidi="ar-SA"/>
        </w:rPr>
      </w:pPr>
      <w:r>
        <w:rPr>
          <w:lang w:bidi="ar-SA"/>
        </w:rPr>
        <w:t xml:space="preserve">FSANZ received an application from the Australian Beverages Council Ltd (ABCL) to permit the addition of steviol glycosides </w:t>
      </w:r>
      <w:r w:rsidR="008C7908">
        <w:rPr>
          <w:lang w:bidi="ar-SA"/>
        </w:rPr>
        <w:t xml:space="preserve">to </w:t>
      </w:r>
      <w:r>
        <w:rPr>
          <w:lang w:bidi="ar-SA"/>
        </w:rPr>
        <w:t>fruit drinks at a maximum permitted level of 200 mg/kg steviol equivalents.</w:t>
      </w:r>
    </w:p>
    <w:p w14:paraId="693898B1" w14:textId="6BD33202" w:rsidR="000C1439" w:rsidRDefault="000C1439" w:rsidP="006C6C4B">
      <w:pPr>
        <w:rPr>
          <w:lang w:bidi="ar-SA"/>
        </w:rPr>
      </w:pPr>
    </w:p>
    <w:p w14:paraId="2032761B" w14:textId="60F860E3" w:rsidR="000C1439" w:rsidRDefault="008C7908" w:rsidP="006C6C4B">
      <w:pPr>
        <w:rPr>
          <w:lang w:bidi="ar-SA"/>
        </w:rPr>
      </w:pPr>
      <w:r>
        <w:rPr>
          <w:lang w:bidi="ar-SA"/>
        </w:rPr>
        <w:t xml:space="preserve">Currently, </w:t>
      </w:r>
      <w:r w:rsidR="000C1439">
        <w:rPr>
          <w:lang w:bidi="ar-SA"/>
        </w:rPr>
        <w:t>permission</w:t>
      </w:r>
      <w:r>
        <w:rPr>
          <w:lang w:bidi="ar-SA"/>
        </w:rPr>
        <w:t>s</w:t>
      </w:r>
      <w:r w:rsidR="000C1439">
        <w:rPr>
          <w:lang w:bidi="ar-SA"/>
        </w:rPr>
        <w:t xml:space="preserve"> </w:t>
      </w:r>
      <w:r>
        <w:rPr>
          <w:lang w:bidi="ar-SA"/>
        </w:rPr>
        <w:t xml:space="preserve">exist </w:t>
      </w:r>
      <w:r w:rsidR="000C1439">
        <w:rPr>
          <w:lang w:bidi="ar-SA"/>
        </w:rPr>
        <w:t>in a range of foods, including beverages</w:t>
      </w:r>
      <w:r w:rsidR="00E43A89">
        <w:rPr>
          <w:lang w:bidi="ar-SA"/>
        </w:rPr>
        <w:t>,</w:t>
      </w:r>
      <w:r w:rsidR="000C1439">
        <w:rPr>
          <w:lang w:bidi="ar-SA"/>
        </w:rPr>
        <w:t xml:space="preserve"> to use steviol glycosides as an intense sweetener but not in fruit drinks. </w:t>
      </w:r>
    </w:p>
    <w:p w14:paraId="23C127AF" w14:textId="665C887B" w:rsidR="006C6C4B" w:rsidRDefault="006C6C4B" w:rsidP="006C6C4B">
      <w:pPr>
        <w:rPr>
          <w:lang w:bidi="ar-SA"/>
        </w:rPr>
      </w:pPr>
    </w:p>
    <w:p w14:paraId="462B7E4A" w14:textId="5DEEF523" w:rsidR="001C61E1" w:rsidRDefault="006C6C4B" w:rsidP="006C6C4B">
      <w:pPr>
        <w:rPr>
          <w:lang w:bidi="ar-SA"/>
        </w:rPr>
      </w:pPr>
      <w:r>
        <w:rPr>
          <w:lang w:bidi="ar-SA"/>
        </w:rPr>
        <w:t xml:space="preserve">The technological purpose of steviol glycosides </w:t>
      </w:r>
      <w:r w:rsidR="001677D8">
        <w:rPr>
          <w:lang w:bidi="ar-SA"/>
        </w:rPr>
        <w:t xml:space="preserve">is </w:t>
      </w:r>
      <w:r>
        <w:rPr>
          <w:lang w:bidi="ar-SA"/>
        </w:rPr>
        <w:t xml:space="preserve">as an intense sweetener where it </w:t>
      </w:r>
      <w:r w:rsidR="002A7F1B">
        <w:rPr>
          <w:lang w:bidi="ar-SA"/>
        </w:rPr>
        <w:t xml:space="preserve">can be </w:t>
      </w:r>
      <w:r>
        <w:rPr>
          <w:lang w:bidi="ar-SA"/>
        </w:rPr>
        <w:t xml:space="preserve">used </w:t>
      </w:r>
      <w:r w:rsidR="003A3B63">
        <w:rPr>
          <w:lang w:bidi="ar-SA"/>
        </w:rPr>
        <w:t xml:space="preserve">alone or in conjunction with other intense sweeteners </w:t>
      </w:r>
      <w:r>
        <w:rPr>
          <w:lang w:bidi="ar-SA"/>
        </w:rPr>
        <w:t xml:space="preserve">to replace and </w:t>
      </w:r>
      <w:r w:rsidR="002A7F1B">
        <w:rPr>
          <w:lang w:bidi="ar-SA"/>
        </w:rPr>
        <w:t>reduce</w:t>
      </w:r>
      <w:r>
        <w:rPr>
          <w:lang w:bidi="ar-SA"/>
        </w:rPr>
        <w:t xml:space="preserve"> </w:t>
      </w:r>
      <w:r w:rsidR="002A7F1B">
        <w:rPr>
          <w:lang w:bidi="ar-SA"/>
        </w:rPr>
        <w:t xml:space="preserve">the </w:t>
      </w:r>
      <w:r>
        <w:rPr>
          <w:lang w:bidi="ar-SA"/>
        </w:rPr>
        <w:t xml:space="preserve">sugar </w:t>
      </w:r>
      <w:r w:rsidR="002A7F1B">
        <w:rPr>
          <w:lang w:bidi="ar-SA"/>
        </w:rPr>
        <w:t xml:space="preserve">content </w:t>
      </w:r>
      <w:r>
        <w:rPr>
          <w:lang w:bidi="ar-SA"/>
        </w:rPr>
        <w:t xml:space="preserve">in fruit drinks. </w:t>
      </w:r>
    </w:p>
    <w:p w14:paraId="62D133A1" w14:textId="77777777" w:rsidR="005F526E" w:rsidRDefault="005F526E" w:rsidP="006C6C4B">
      <w:pPr>
        <w:rPr>
          <w:lang w:bidi="ar-SA"/>
        </w:rPr>
      </w:pPr>
    </w:p>
    <w:p w14:paraId="24FB6837" w14:textId="1F3E4702" w:rsidR="0079496A" w:rsidRDefault="0079496A" w:rsidP="006C6C4B">
      <w:pPr>
        <w:rPr>
          <w:lang w:bidi="ar-SA"/>
        </w:rPr>
      </w:pPr>
      <w:r>
        <w:rPr>
          <w:lang w:bidi="ar-SA"/>
        </w:rPr>
        <w:t xml:space="preserve">Steviol glycosides are purified extracts </w:t>
      </w:r>
      <w:r w:rsidR="001D64DC">
        <w:rPr>
          <w:lang w:bidi="ar-SA"/>
        </w:rPr>
        <w:t>obtained from</w:t>
      </w:r>
      <w:r>
        <w:rPr>
          <w:lang w:bidi="ar-SA"/>
        </w:rPr>
        <w:t xml:space="preserve"> </w:t>
      </w:r>
      <w:r w:rsidR="00492677">
        <w:rPr>
          <w:lang w:bidi="ar-SA"/>
        </w:rPr>
        <w:t xml:space="preserve">the leaves of </w:t>
      </w:r>
      <w:r w:rsidR="00815631">
        <w:rPr>
          <w:lang w:bidi="ar-SA"/>
        </w:rPr>
        <w:t xml:space="preserve">the plant </w:t>
      </w:r>
      <w:r w:rsidRPr="00CB6CBC">
        <w:rPr>
          <w:i/>
          <w:lang w:bidi="ar-SA"/>
        </w:rPr>
        <w:t>Stevia rebaudiana</w:t>
      </w:r>
      <w:r w:rsidR="00815631">
        <w:rPr>
          <w:lang w:bidi="ar-SA"/>
        </w:rPr>
        <w:t xml:space="preserve"> Bertoni</w:t>
      </w:r>
      <w:r w:rsidR="002A7F1B">
        <w:rPr>
          <w:lang w:bidi="ar-SA"/>
        </w:rPr>
        <w:t>.</w:t>
      </w:r>
    </w:p>
    <w:p w14:paraId="06ECB7A5" w14:textId="788AA014" w:rsidR="006C6C4B" w:rsidRPr="006C6C4B" w:rsidRDefault="006C6C4B" w:rsidP="006C6C4B">
      <w:pPr>
        <w:rPr>
          <w:lang w:bidi="ar-SA"/>
        </w:rPr>
      </w:pPr>
      <w:r>
        <w:rPr>
          <w:lang w:bidi="ar-SA"/>
        </w:rPr>
        <w:t xml:space="preserve"> </w:t>
      </w:r>
    </w:p>
    <w:p w14:paraId="36167266" w14:textId="63351FAA" w:rsidR="00443880" w:rsidRDefault="00443880" w:rsidP="00724574">
      <w:pPr>
        <w:pStyle w:val="Heading1"/>
        <w:widowControl/>
        <w:spacing w:before="0"/>
      </w:pPr>
      <w:bookmarkStart w:id="13" w:name="_Toc522718978"/>
      <w:bookmarkStart w:id="14" w:name="_Toc522712016"/>
      <w:bookmarkStart w:id="15" w:name="_Toc523830650"/>
      <w:bookmarkStart w:id="16" w:name="_Toc526337815"/>
      <w:bookmarkStart w:id="17" w:name="_Toc526343074"/>
      <w:r>
        <w:t>Food technology assessment</w:t>
      </w:r>
      <w:bookmarkEnd w:id="13"/>
      <w:bookmarkEnd w:id="14"/>
      <w:bookmarkEnd w:id="15"/>
      <w:bookmarkEnd w:id="16"/>
      <w:bookmarkEnd w:id="17"/>
    </w:p>
    <w:p w14:paraId="6178272A" w14:textId="0E310B46" w:rsidR="002A7F1B" w:rsidRDefault="002A7F1B" w:rsidP="00817A18">
      <w:pPr>
        <w:pStyle w:val="Heading2"/>
      </w:pPr>
      <w:bookmarkStart w:id="18" w:name="_Toc522718979"/>
      <w:bookmarkStart w:id="19" w:name="_Toc522712017"/>
      <w:bookmarkStart w:id="20" w:name="_Toc523830651"/>
      <w:bookmarkStart w:id="21" w:name="_Toc526337816"/>
      <w:bookmarkStart w:id="22" w:name="_Toc526343075"/>
      <w:r>
        <w:t xml:space="preserve">Previous FSANZ </w:t>
      </w:r>
      <w:r w:rsidR="009037FD">
        <w:t xml:space="preserve">food technology </w:t>
      </w:r>
      <w:r>
        <w:t>assessments</w:t>
      </w:r>
      <w:bookmarkEnd w:id="18"/>
      <w:bookmarkEnd w:id="19"/>
      <w:bookmarkEnd w:id="20"/>
      <w:bookmarkEnd w:id="21"/>
      <w:bookmarkEnd w:id="22"/>
    </w:p>
    <w:p w14:paraId="234965E3" w14:textId="5344B1D9" w:rsidR="00CE3FA7" w:rsidRDefault="0065154C" w:rsidP="00815631">
      <w:pPr>
        <w:rPr>
          <w:lang w:bidi="ar-SA"/>
        </w:rPr>
      </w:pPr>
      <w:r>
        <w:rPr>
          <w:lang w:bidi="ar-SA"/>
        </w:rPr>
        <w:t xml:space="preserve">FSANZ has </w:t>
      </w:r>
      <w:r w:rsidR="00E43A89">
        <w:rPr>
          <w:lang w:bidi="ar-SA"/>
        </w:rPr>
        <w:t xml:space="preserve">previously </w:t>
      </w:r>
      <w:r>
        <w:rPr>
          <w:lang w:bidi="ar-SA"/>
        </w:rPr>
        <w:t>completed f</w:t>
      </w:r>
      <w:r w:rsidR="00A1309A">
        <w:rPr>
          <w:lang w:bidi="ar-SA"/>
        </w:rPr>
        <w:t xml:space="preserve">ood technology assessments </w:t>
      </w:r>
      <w:r w:rsidR="009037FD">
        <w:rPr>
          <w:lang w:bidi="ar-SA"/>
        </w:rPr>
        <w:t>for</w:t>
      </w:r>
      <w:r w:rsidR="00FD2780">
        <w:rPr>
          <w:lang w:bidi="ar-SA"/>
        </w:rPr>
        <w:t xml:space="preserve"> </w:t>
      </w:r>
      <w:r w:rsidR="00E43A89">
        <w:rPr>
          <w:lang w:bidi="ar-SA"/>
        </w:rPr>
        <w:t xml:space="preserve">other </w:t>
      </w:r>
      <w:r w:rsidR="00A1309A">
        <w:rPr>
          <w:lang w:bidi="ar-SA"/>
        </w:rPr>
        <w:t xml:space="preserve">applications </w:t>
      </w:r>
      <w:r w:rsidR="009037FD">
        <w:rPr>
          <w:lang w:bidi="ar-SA"/>
        </w:rPr>
        <w:t xml:space="preserve">relating to the use of </w:t>
      </w:r>
      <w:r w:rsidR="00E9435E">
        <w:rPr>
          <w:lang w:bidi="ar-SA"/>
        </w:rPr>
        <w:t>steviol glycosides</w:t>
      </w:r>
      <w:r w:rsidR="00CF31C0">
        <w:rPr>
          <w:lang w:bidi="ar-SA"/>
        </w:rPr>
        <w:t xml:space="preserve"> and</w:t>
      </w:r>
      <w:r w:rsidR="00815631">
        <w:rPr>
          <w:lang w:bidi="ar-SA"/>
        </w:rPr>
        <w:t xml:space="preserve"> are </w:t>
      </w:r>
      <w:r w:rsidR="00815631" w:rsidRPr="006861B8">
        <w:rPr>
          <w:lang w:bidi="ar-SA"/>
        </w:rPr>
        <w:t>summarised in Table 1.</w:t>
      </w:r>
      <w:r w:rsidR="00815631">
        <w:rPr>
          <w:lang w:bidi="ar-SA"/>
        </w:rPr>
        <w:t xml:space="preserve"> </w:t>
      </w:r>
    </w:p>
    <w:p w14:paraId="0D67C201" w14:textId="77777777" w:rsidR="00CF31C0" w:rsidRDefault="00CF31C0" w:rsidP="00815631">
      <w:pPr>
        <w:rPr>
          <w:lang w:bidi="ar-SA"/>
        </w:rPr>
      </w:pPr>
    </w:p>
    <w:p w14:paraId="47A2FBE7" w14:textId="587ADB99" w:rsidR="00A1309A" w:rsidRDefault="00995988" w:rsidP="00215615">
      <w:pPr>
        <w:rPr>
          <w:lang w:bidi="ar-SA"/>
        </w:rPr>
      </w:pPr>
      <w:r>
        <w:rPr>
          <w:lang w:bidi="ar-SA"/>
        </w:rPr>
        <w:t xml:space="preserve">Previous </w:t>
      </w:r>
      <w:r w:rsidR="00E9435E">
        <w:rPr>
          <w:lang w:bidi="ar-SA"/>
        </w:rPr>
        <w:t xml:space="preserve">food technology </w:t>
      </w:r>
      <w:r>
        <w:rPr>
          <w:lang w:bidi="ar-SA"/>
        </w:rPr>
        <w:t xml:space="preserve">assessments were consistent in </w:t>
      </w:r>
      <w:r w:rsidR="00E9435E">
        <w:rPr>
          <w:lang w:bidi="ar-SA"/>
        </w:rPr>
        <w:t>conclu</w:t>
      </w:r>
      <w:r>
        <w:rPr>
          <w:lang w:bidi="ar-SA"/>
        </w:rPr>
        <w:t>ding</w:t>
      </w:r>
      <w:r w:rsidR="00E9435E">
        <w:rPr>
          <w:lang w:bidi="ar-SA"/>
        </w:rPr>
        <w:t xml:space="preserve"> that </w:t>
      </w:r>
      <w:r w:rsidR="0043053C">
        <w:rPr>
          <w:lang w:bidi="ar-SA"/>
        </w:rPr>
        <w:t>steviol glycosides</w:t>
      </w:r>
      <w:r>
        <w:rPr>
          <w:lang w:bidi="ar-SA"/>
        </w:rPr>
        <w:t>,</w:t>
      </w:r>
      <w:r w:rsidR="0043053C">
        <w:rPr>
          <w:lang w:bidi="ar-SA"/>
        </w:rPr>
        <w:t xml:space="preserve"> </w:t>
      </w:r>
      <w:r w:rsidR="00A00E7B">
        <w:rPr>
          <w:lang w:bidi="ar-SA"/>
        </w:rPr>
        <w:t xml:space="preserve">when </w:t>
      </w:r>
      <w:r w:rsidR="0043053C">
        <w:rPr>
          <w:lang w:bidi="ar-SA"/>
        </w:rPr>
        <w:t>used as a food additive in the form and quantity proposed</w:t>
      </w:r>
      <w:r w:rsidR="005F526E">
        <w:rPr>
          <w:lang w:bidi="ar-SA"/>
        </w:rPr>
        <w:t>,</w:t>
      </w:r>
      <w:r w:rsidR="0043053C">
        <w:rPr>
          <w:lang w:bidi="ar-SA"/>
        </w:rPr>
        <w:t xml:space="preserve"> </w:t>
      </w:r>
      <w:r w:rsidR="00815631">
        <w:rPr>
          <w:lang w:bidi="ar-SA"/>
        </w:rPr>
        <w:t xml:space="preserve">provide </w:t>
      </w:r>
      <w:r>
        <w:rPr>
          <w:lang w:bidi="ar-SA"/>
        </w:rPr>
        <w:t xml:space="preserve">the </w:t>
      </w:r>
      <w:r w:rsidR="0043053C">
        <w:rPr>
          <w:lang w:bidi="ar-SA"/>
        </w:rPr>
        <w:t xml:space="preserve">technological </w:t>
      </w:r>
      <w:r w:rsidR="00A00E7B">
        <w:rPr>
          <w:lang w:bidi="ar-SA"/>
        </w:rPr>
        <w:t xml:space="preserve">purpose </w:t>
      </w:r>
      <w:r w:rsidR="0043053C">
        <w:rPr>
          <w:lang w:bidi="ar-SA"/>
        </w:rPr>
        <w:t>as an intense sweetener</w:t>
      </w:r>
      <w:r>
        <w:rPr>
          <w:lang w:bidi="ar-SA"/>
        </w:rPr>
        <w:t>.</w:t>
      </w:r>
    </w:p>
    <w:p w14:paraId="7C475106" w14:textId="77777777" w:rsidR="00CF31C0" w:rsidRDefault="00CF31C0" w:rsidP="00215615">
      <w:pPr>
        <w:rPr>
          <w:lang w:bidi="ar-SA"/>
        </w:rPr>
      </w:pPr>
    </w:p>
    <w:p w14:paraId="36BABC1D" w14:textId="0F56494B" w:rsidR="00CE3FA7" w:rsidRDefault="00CF31C0" w:rsidP="00292552">
      <w:pPr>
        <w:pStyle w:val="FSTableFigureHeading"/>
      </w:pPr>
      <w:r>
        <w:t xml:space="preserve">Table 1 </w:t>
      </w:r>
      <w:r w:rsidRPr="00292552">
        <w:rPr>
          <w:b w:val="0"/>
        </w:rPr>
        <w:t>Previous applications to FSANZ for steviol glycosides</w:t>
      </w:r>
      <w:r>
        <w:rPr>
          <w:b w:val="0"/>
        </w:rPr>
        <w:t xml:space="preserve"> (FSANZ, 2008, 2011, 2015, 2017, 2018)</w:t>
      </w:r>
    </w:p>
    <w:tbl>
      <w:tblPr>
        <w:tblStyle w:val="TableGrid"/>
        <w:tblW w:w="0" w:type="auto"/>
        <w:tblLook w:val="04A0" w:firstRow="1" w:lastRow="0" w:firstColumn="1" w:lastColumn="0" w:noHBand="0" w:noVBand="1"/>
        <w:tblCaption w:val="Table 1 Previous applications to FSAZ for steviol glycosides"/>
        <w:tblDescription w:val="Table 1 contains previous applications made to FSANZ from 2008 to 2018 that relate to the use of steviol glycosides in foods. "/>
      </w:tblPr>
      <w:tblGrid>
        <w:gridCol w:w="988"/>
        <w:gridCol w:w="2409"/>
        <w:gridCol w:w="2835"/>
        <w:gridCol w:w="2828"/>
      </w:tblGrid>
      <w:tr w:rsidR="0031261A" w14:paraId="3C1CDC2C" w14:textId="77777777" w:rsidTr="00CE3FA7">
        <w:trPr>
          <w:tblHeader/>
        </w:trPr>
        <w:tc>
          <w:tcPr>
            <w:tcW w:w="988" w:type="dxa"/>
            <w:vAlign w:val="center"/>
          </w:tcPr>
          <w:p w14:paraId="2B417ABA" w14:textId="43769856" w:rsidR="0031261A" w:rsidRDefault="0031261A" w:rsidP="006861B8">
            <w:pPr>
              <w:pStyle w:val="FSTableTitle"/>
              <w:rPr>
                <w:lang w:bidi="ar-SA"/>
              </w:rPr>
            </w:pPr>
            <w:r>
              <w:rPr>
                <w:lang w:bidi="ar-SA"/>
              </w:rPr>
              <w:t>Year</w:t>
            </w:r>
          </w:p>
        </w:tc>
        <w:tc>
          <w:tcPr>
            <w:tcW w:w="2409" w:type="dxa"/>
            <w:vAlign w:val="center"/>
          </w:tcPr>
          <w:p w14:paraId="0A0DF396" w14:textId="71FDE29D" w:rsidR="0031261A" w:rsidRDefault="0031261A" w:rsidP="006861B8">
            <w:pPr>
              <w:pStyle w:val="FSTableTitle"/>
              <w:rPr>
                <w:lang w:bidi="ar-SA"/>
              </w:rPr>
            </w:pPr>
            <w:r>
              <w:rPr>
                <w:lang w:bidi="ar-SA"/>
              </w:rPr>
              <w:t>Application</w:t>
            </w:r>
          </w:p>
        </w:tc>
        <w:tc>
          <w:tcPr>
            <w:tcW w:w="2835" w:type="dxa"/>
            <w:vAlign w:val="center"/>
          </w:tcPr>
          <w:p w14:paraId="544675F1" w14:textId="39C72407" w:rsidR="0031261A" w:rsidRDefault="0031261A" w:rsidP="006861B8">
            <w:pPr>
              <w:pStyle w:val="FSTableTitle"/>
              <w:rPr>
                <w:lang w:bidi="ar-SA"/>
              </w:rPr>
            </w:pPr>
            <w:r>
              <w:rPr>
                <w:lang w:bidi="ar-SA"/>
              </w:rPr>
              <w:t>Purpose</w:t>
            </w:r>
          </w:p>
        </w:tc>
        <w:tc>
          <w:tcPr>
            <w:tcW w:w="2828" w:type="dxa"/>
            <w:vAlign w:val="center"/>
          </w:tcPr>
          <w:p w14:paraId="2E277E16" w14:textId="730C091C" w:rsidR="0031261A" w:rsidRDefault="000F64B4" w:rsidP="006861B8">
            <w:pPr>
              <w:pStyle w:val="FSTableTitle"/>
              <w:rPr>
                <w:lang w:bidi="ar-SA"/>
              </w:rPr>
            </w:pPr>
            <w:r>
              <w:rPr>
                <w:lang w:bidi="ar-SA"/>
              </w:rPr>
              <w:t xml:space="preserve">Summary of </w:t>
            </w:r>
            <w:r w:rsidR="006C1E1C">
              <w:rPr>
                <w:lang w:bidi="ar-SA"/>
              </w:rPr>
              <w:t xml:space="preserve">outcome and </w:t>
            </w:r>
            <w:r>
              <w:rPr>
                <w:lang w:bidi="ar-SA"/>
              </w:rPr>
              <w:t>c</w:t>
            </w:r>
            <w:r w:rsidR="0031261A">
              <w:rPr>
                <w:lang w:bidi="ar-SA"/>
              </w:rPr>
              <w:t xml:space="preserve">hange to </w:t>
            </w:r>
            <w:r w:rsidR="006C1E1C">
              <w:rPr>
                <w:lang w:bidi="ar-SA"/>
              </w:rPr>
              <w:t xml:space="preserve">the </w:t>
            </w:r>
            <w:r w:rsidR="0031261A">
              <w:rPr>
                <w:lang w:bidi="ar-SA"/>
              </w:rPr>
              <w:t>Code</w:t>
            </w:r>
          </w:p>
        </w:tc>
      </w:tr>
      <w:tr w:rsidR="0031261A" w14:paraId="059EF5A0" w14:textId="77777777" w:rsidTr="000F64B4">
        <w:tc>
          <w:tcPr>
            <w:tcW w:w="988" w:type="dxa"/>
          </w:tcPr>
          <w:p w14:paraId="3A375715" w14:textId="66BE4EBB" w:rsidR="0031261A" w:rsidRPr="000F64B4" w:rsidRDefault="0031261A" w:rsidP="000F64B4">
            <w:pPr>
              <w:pStyle w:val="FSTableText"/>
            </w:pPr>
            <w:r w:rsidRPr="000F64B4">
              <w:t>2008</w:t>
            </w:r>
          </w:p>
        </w:tc>
        <w:tc>
          <w:tcPr>
            <w:tcW w:w="2409" w:type="dxa"/>
          </w:tcPr>
          <w:p w14:paraId="781484F6" w14:textId="14DD47A0" w:rsidR="0031261A" w:rsidRPr="000F64B4" w:rsidRDefault="0031261A" w:rsidP="000F64B4">
            <w:pPr>
              <w:pStyle w:val="FSTableText"/>
            </w:pPr>
            <w:r w:rsidRPr="000F64B4">
              <w:t xml:space="preserve">A540 Steviol </w:t>
            </w:r>
            <w:r w:rsidR="006861B8" w:rsidRPr="000F64B4">
              <w:t>glycosides  as sweeteners</w:t>
            </w:r>
          </w:p>
        </w:tc>
        <w:tc>
          <w:tcPr>
            <w:tcW w:w="2835" w:type="dxa"/>
          </w:tcPr>
          <w:p w14:paraId="170A82CB" w14:textId="458BC07F" w:rsidR="0031261A" w:rsidRDefault="00570D92" w:rsidP="000F64B4">
            <w:pPr>
              <w:pStyle w:val="FSTableText"/>
            </w:pPr>
            <w:r>
              <w:t>To permit</w:t>
            </w:r>
            <w:r w:rsidR="006861B8" w:rsidRPr="000F64B4">
              <w:t xml:space="preserve"> steviol glycosides as a food additive – intense sweetener in a range of foods at max permitted levels/levels of good manufacturing practice</w:t>
            </w:r>
            <w:r>
              <w:t>.</w:t>
            </w:r>
          </w:p>
          <w:p w14:paraId="463DC462" w14:textId="4BD0744D" w:rsidR="0031261A" w:rsidRPr="000F64B4" w:rsidRDefault="0031261A" w:rsidP="000F64B4">
            <w:pPr>
              <w:pStyle w:val="FSTableText"/>
            </w:pPr>
          </w:p>
        </w:tc>
        <w:tc>
          <w:tcPr>
            <w:tcW w:w="2828" w:type="dxa"/>
          </w:tcPr>
          <w:p w14:paraId="4AA3B68C" w14:textId="2EAF32D9" w:rsidR="0031261A" w:rsidRPr="000F64B4" w:rsidRDefault="000F64B4" w:rsidP="000F64B4">
            <w:pPr>
              <w:pStyle w:val="FSTableText"/>
            </w:pPr>
            <w:r w:rsidRPr="000F64B4">
              <w:t>Approved - a</w:t>
            </w:r>
            <w:r w:rsidR="005C11DD" w:rsidRPr="000F64B4">
              <w:t>mend</w:t>
            </w:r>
            <w:r w:rsidR="00824B8E">
              <w:t>ed</w:t>
            </w:r>
            <w:r w:rsidR="005C11DD" w:rsidRPr="000F64B4">
              <w:t xml:space="preserve"> Standards 1.2.4 and 1.3.1 - p</w:t>
            </w:r>
            <w:r w:rsidR="006861B8" w:rsidRPr="000F64B4">
              <w:t>ermitted in a range of foods  at max permitted levels/</w:t>
            </w:r>
            <w:r w:rsidR="005C11DD" w:rsidRPr="000F64B4">
              <w:t xml:space="preserve">levels of </w:t>
            </w:r>
            <w:r w:rsidR="006861B8" w:rsidRPr="000F64B4">
              <w:t>good manufacturing practice</w:t>
            </w:r>
            <w:r w:rsidR="00570D92">
              <w:t>.</w:t>
            </w:r>
          </w:p>
        </w:tc>
      </w:tr>
      <w:tr w:rsidR="0031261A" w14:paraId="3BFF29F1" w14:textId="77777777" w:rsidTr="000F64B4">
        <w:tc>
          <w:tcPr>
            <w:tcW w:w="988" w:type="dxa"/>
          </w:tcPr>
          <w:p w14:paraId="3E41A9A8" w14:textId="0F67527D" w:rsidR="0031261A" w:rsidRPr="000F64B4" w:rsidRDefault="0031261A" w:rsidP="000F64B4">
            <w:pPr>
              <w:pStyle w:val="FSTableText"/>
            </w:pPr>
            <w:r w:rsidRPr="000F64B4">
              <w:t>2011</w:t>
            </w:r>
          </w:p>
        </w:tc>
        <w:tc>
          <w:tcPr>
            <w:tcW w:w="2409" w:type="dxa"/>
          </w:tcPr>
          <w:p w14:paraId="78166426" w14:textId="431BE405" w:rsidR="0031261A" w:rsidRPr="000F64B4" w:rsidRDefault="006861B8" w:rsidP="000F64B4">
            <w:pPr>
              <w:pStyle w:val="FSTableText"/>
            </w:pPr>
            <w:r w:rsidRPr="000F64B4">
              <w:t xml:space="preserve">A1037 </w:t>
            </w:r>
            <w:r w:rsidR="005C11DD" w:rsidRPr="000F64B4">
              <w:t>Steviol glycosides – increase in permitted use levels</w:t>
            </w:r>
          </w:p>
        </w:tc>
        <w:tc>
          <w:tcPr>
            <w:tcW w:w="2835" w:type="dxa"/>
          </w:tcPr>
          <w:p w14:paraId="0E0D0902" w14:textId="67E9A5E4" w:rsidR="0031261A" w:rsidRPr="000F64B4" w:rsidRDefault="00570D92" w:rsidP="000F64B4">
            <w:pPr>
              <w:pStyle w:val="FSTableText"/>
            </w:pPr>
            <w:r>
              <w:t>To</w:t>
            </w:r>
            <w:r w:rsidR="005C11DD" w:rsidRPr="000F64B4">
              <w:t xml:space="preserve"> increase </w:t>
            </w:r>
            <w:r w:rsidR="000F64B4" w:rsidRPr="000F64B4">
              <w:t xml:space="preserve">maximum permitted levels </w:t>
            </w:r>
            <w:r w:rsidR="005C11DD" w:rsidRPr="000F64B4">
              <w:t xml:space="preserve">to 100 and 200 mg/kg in a range of foods to improve </w:t>
            </w:r>
            <w:r>
              <w:t xml:space="preserve">the </w:t>
            </w:r>
            <w:r w:rsidR="005C11DD" w:rsidRPr="000F64B4">
              <w:t xml:space="preserve">taste profile. </w:t>
            </w:r>
          </w:p>
        </w:tc>
        <w:tc>
          <w:tcPr>
            <w:tcW w:w="2828" w:type="dxa"/>
          </w:tcPr>
          <w:p w14:paraId="5FEF23BC" w14:textId="6D6FB660" w:rsidR="0031261A" w:rsidRDefault="000F64B4" w:rsidP="000F64B4">
            <w:pPr>
              <w:pStyle w:val="FSTableText"/>
            </w:pPr>
            <w:r w:rsidRPr="000F64B4">
              <w:t>Approved - a</w:t>
            </w:r>
            <w:r w:rsidR="005C11DD" w:rsidRPr="000F64B4">
              <w:t>mend</w:t>
            </w:r>
            <w:r w:rsidR="00824B8E">
              <w:t>ed</w:t>
            </w:r>
            <w:r w:rsidR="005C11DD" w:rsidRPr="000F64B4">
              <w:t xml:space="preserve"> Standard 1.3.1 to permit an increase in </w:t>
            </w:r>
            <w:r w:rsidRPr="000F64B4">
              <w:t>maximum permitted levels for a range of foods</w:t>
            </w:r>
            <w:r w:rsidR="00570D92">
              <w:t>.</w:t>
            </w:r>
          </w:p>
          <w:p w14:paraId="251F474D" w14:textId="4E4FA163" w:rsidR="0031261A" w:rsidRPr="000F64B4" w:rsidRDefault="0031261A" w:rsidP="000F64B4">
            <w:pPr>
              <w:pStyle w:val="FSTableText"/>
            </w:pPr>
          </w:p>
        </w:tc>
      </w:tr>
      <w:tr w:rsidR="0031261A" w14:paraId="0E640EA7" w14:textId="77777777" w:rsidTr="000F64B4">
        <w:tc>
          <w:tcPr>
            <w:tcW w:w="988" w:type="dxa"/>
          </w:tcPr>
          <w:p w14:paraId="46F8DBA4" w14:textId="30D87DEA" w:rsidR="0031261A" w:rsidRPr="000F64B4" w:rsidRDefault="0031261A" w:rsidP="000F64B4">
            <w:pPr>
              <w:pStyle w:val="FSTableText"/>
            </w:pPr>
            <w:r w:rsidRPr="000F64B4">
              <w:t>2015</w:t>
            </w:r>
          </w:p>
        </w:tc>
        <w:tc>
          <w:tcPr>
            <w:tcW w:w="2409" w:type="dxa"/>
          </w:tcPr>
          <w:p w14:paraId="540EFB4B" w14:textId="32CED9DD" w:rsidR="0031261A" w:rsidRPr="000F64B4" w:rsidRDefault="006861B8" w:rsidP="00DA7CC3">
            <w:pPr>
              <w:pStyle w:val="FSTableText"/>
            </w:pPr>
            <w:r w:rsidRPr="000F64B4">
              <w:t>A1108</w:t>
            </w:r>
            <w:r w:rsidR="000F64B4" w:rsidRPr="000F64B4">
              <w:t xml:space="preserve"> Rebaudioside M</w:t>
            </w:r>
            <w:r w:rsidR="00610063">
              <w:t xml:space="preserve"> (</w:t>
            </w:r>
            <w:r w:rsidR="004C1B55">
              <w:t>Reb M</w:t>
            </w:r>
            <w:r w:rsidR="00610063">
              <w:t>)</w:t>
            </w:r>
            <w:r w:rsidR="000F64B4" w:rsidRPr="000F64B4">
              <w:t xml:space="preserve"> as a Steviol glycoside intense sweetener</w:t>
            </w:r>
          </w:p>
        </w:tc>
        <w:tc>
          <w:tcPr>
            <w:tcW w:w="2835" w:type="dxa"/>
          </w:tcPr>
          <w:p w14:paraId="281935B8" w14:textId="4A68A6CB" w:rsidR="00570D92" w:rsidRDefault="000F64B4" w:rsidP="000F64B4">
            <w:pPr>
              <w:pStyle w:val="FSTableText"/>
            </w:pPr>
            <w:r w:rsidRPr="000F64B4">
              <w:t xml:space="preserve">To include Reb. M </w:t>
            </w:r>
            <w:r w:rsidR="00570D92">
              <w:t>as a component</w:t>
            </w:r>
            <w:r w:rsidRPr="000F64B4">
              <w:t xml:space="preserve"> of steviol glycosides </w:t>
            </w:r>
            <w:r w:rsidR="00570D92">
              <w:t xml:space="preserve">mixtures </w:t>
            </w:r>
            <w:r w:rsidRPr="000F64B4">
              <w:t>used as an intense sweetener</w:t>
            </w:r>
            <w:r w:rsidR="00570D92">
              <w:t>.</w:t>
            </w:r>
          </w:p>
          <w:p w14:paraId="5DCB487B" w14:textId="0947F1F0" w:rsidR="0031261A" w:rsidRPr="000F64B4" w:rsidRDefault="0031261A" w:rsidP="000F64B4">
            <w:pPr>
              <w:pStyle w:val="FSTableText"/>
            </w:pPr>
          </w:p>
        </w:tc>
        <w:tc>
          <w:tcPr>
            <w:tcW w:w="2828" w:type="dxa"/>
          </w:tcPr>
          <w:p w14:paraId="5AA88786" w14:textId="41E68331" w:rsidR="0031261A" w:rsidRPr="000F64B4" w:rsidRDefault="000F64B4" w:rsidP="000F64B4">
            <w:pPr>
              <w:pStyle w:val="FSTableText"/>
            </w:pPr>
            <w:r w:rsidRPr="000F64B4">
              <w:t>Approved – amend</w:t>
            </w:r>
            <w:r w:rsidR="00824B8E">
              <w:t>ed</w:t>
            </w:r>
            <w:r w:rsidRPr="000F64B4">
              <w:t xml:space="preserve"> Standard 1.3.1 and Schedule 3</w:t>
            </w:r>
            <w:r w:rsidR="00570D92">
              <w:t>.</w:t>
            </w:r>
          </w:p>
        </w:tc>
      </w:tr>
      <w:tr w:rsidR="0031261A" w14:paraId="393354C0" w14:textId="77777777" w:rsidTr="000F64B4">
        <w:tc>
          <w:tcPr>
            <w:tcW w:w="988" w:type="dxa"/>
          </w:tcPr>
          <w:p w14:paraId="2F92D085" w14:textId="6A7D06A0" w:rsidR="0031261A" w:rsidRPr="000F64B4" w:rsidRDefault="0031261A" w:rsidP="000F64B4">
            <w:pPr>
              <w:pStyle w:val="FSTableText"/>
            </w:pPr>
            <w:r w:rsidRPr="000F64B4">
              <w:t>2017</w:t>
            </w:r>
          </w:p>
        </w:tc>
        <w:tc>
          <w:tcPr>
            <w:tcW w:w="2409" w:type="dxa"/>
          </w:tcPr>
          <w:p w14:paraId="2E564C78" w14:textId="5C4D1DB5" w:rsidR="0031261A" w:rsidRPr="000F64B4" w:rsidRDefault="006861B8" w:rsidP="000F64B4">
            <w:pPr>
              <w:pStyle w:val="FSTableText"/>
            </w:pPr>
            <w:r w:rsidRPr="000F64B4">
              <w:t>A1132</w:t>
            </w:r>
            <w:r w:rsidR="000F64B4" w:rsidRPr="000F64B4">
              <w:t xml:space="preserve"> Broaden definition of steviol glycosides (intense sweetener)</w:t>
            </w:r>
          </w:p>
        </w:tc>
        <w:tc>
          <w:tcPr>
            <w:tcW w:w="2835" w:type="dxa"/>
          </w:tcPr>
          <w:p w14:paraId="038A9839" w14:textId="77777777" w:rsidR="0031261A" w:rsidRDefault="000F64B4" w:rsidP="000F64B4">
            <w:pPr>
              <w:pStyle w:val="FSTableText"/>
            </w:pPr>
            <w:r w:rsidRPr="000F64B4">
              <w:t xml:space="preserve">To expand the definition of steviol glycosides for use as an intense sweetener to include all steviol glycosides </w:t>
            </w:r>
            <w:r w:rsidRPr="000F64B4">
              <w:lastRenderedPageBreak/>
              <w:t xml:space="preserve">present in the </w:t>
            </w:r>
            <w:r w:rsidRPr="000F64B4">
              <w:rPr>
                <w:rStyle w:val="Emphasis"/>
                <w:iCs w:val="0"/>
              </w:rPr>
              <w:t>Stevia rebaudiana</w:t>
            </w:r>
            <w:r w:rsidRPr="000F64B4">
              <w:t xml:space="preserve"> leaf.</w:t>
            </w:r>
          </w:p>
          <w:p w14:paraId="3FC05C61" w14:textId="488DD0A8" w:rsidR="0031261A" w:rsidRPr="000F64B4" w:rsidRDefault="0031261A" w:rsidP="000F64B4">
            <w:pPr>
              <w:pStyle w:val="FSTableText"/>
            </w:pPr>
          </w:p>
        </w:tc>
        <w:tc>
          <w:tcPr>
            <w:tcW w:w="2828" w:type="dxa"/>
          </w:tcPr>
          <w:p w14:paraId="51A4C556" w14:textId="4BB25EBD" w:rsidR="0031261A" w:rsidRPr="000F64B4" w:rsidRDefault="000F64B4" w:rsidP="000F64B4">
            <w:pPr>
              <w:pStyle w:val="FSTableText"/>
            </w:pPr>
            <w:r w:rsidRPr="000F64B4">
              <w:lastRenderedPageBreak/>
              <w:t>Approved – amend</w:t>
            </w:r>
            <w:r w:rsidR="00824B8E">
              <w:t>ed</w:t>
            </w:r>
            <w:r w:rsidRPr="000F64B4">
              <w:t xml:space="preserve"> Standard 1.3.1 and Schedule 3</w:t>
            </w:r>
            <w:r w:rsidR="00570D92">
              <w:t>.</w:t>
            </w:r>
          </w:p>
        </w:tc>
      </w:tr>
      <w:tr w:rsidR="0031261A" w14:paraId="13BF2945" w14:textId="77777777" w:rsidTr="000F64B4">
        <w:tc>
          <w:tcPr>
            <w:tcW w:w="988" w:type="dxa"/>
          </w:tcPr>
          <w:p w14:paraId="014721CB" w14:textId="5B13249A" w:rsidR="0031261A" w:rsidRPr="000F64B4" w:rsidRDefault="0031261A" w:rsidP="000F64B4">
            <w:pPr>
              <w:pStyle w:val="FSTableText"/>
            </w:pPr>
            <w:r w:rsidRPr="000F64B4">
              <w:t>2018</w:t>
            </w:r>
          </w:p>
        </w:tc>
        <w:tc>
          <w:tcPr>
            <w:tcW w:w="2409" w:type="dxa"/>
          </w:tcPr>
          <w:p w14:paraId="20E82CA2" w14:textId="285C5861" w:rsidR="0031261A" w:rsidRPr="000F64B4" w:rsidRDefault="006861B8" w:rsidP="00610063">
            <w:pPr>
              <w:pStyle w:val="FSTableText"/>
            </w:pPr>
            <w:r w:rsidRPr="000F64B4">
              <w:t xml:space="preserve">A1157 </w:t>
            </w:r>
            <w:r w:rsidR="00610063">
              <w:t>Enzymatic production of Reb. M</w:t>
            </w:r>
          </w:p>
        </w:tc>
        <w:tc>
          <w:tcPr>
            <w:tcW w:w="2835" w:type="dxa"/>
          </w:tcPr>
          <w:p w14:paraId="55121045" w14:textId="77777777" w:rsidR="00B27F9B" w:rsidRDefault="00610063" w:rsidP="00B27F9B">
            <w:pPr>
              <w:pStyle w:val="FSTableText"/>
            </w:pPr>
            <w:r>
              <w:t xml:space="preserve">To </w:t>
            </w:r>
            <w:r w:rsidR="00B27F9B">
              <w:t xml:space="preserve">permit </w:t>
            </w:r>
            <w:r>
              <w:t>Reb. M produced by an enzymatic biosynthesis method</w:t>
            </w:r>
            <w:r w:rsidR="00B27F9B">
              <w:t>.</w:t>
            </w:r>
          </w:p>
          <w:p w14:paraId="06050C10" w14:textId="2FF7EB7E" w:rsidR="0031261A" w:rsidRPr="000F64B4" w:rsidRDefault="0031261A" w:rsidP="000F64B4">
            <w:pPr>
              <w:pStyle w:val="FSTableText"/>
            </w:pPr>
          </w:p>
        </w:tc>
        <w:tc>
          <w:tcPr>
            <w:tcW w:w="2828" w:type="dxa"/>
          </w:tcPr>
          <w:p w14:paraId="0AAC6C30" w14:textId="40DFC58C" w:rsidR="0031261A" w:rsidRPr="000F64B4" w:rsidRDefault="00995988" w:rsidP="000F64B4">
            <w:pPr>
              <w:pStyle w:val="FSTableText"/>
            </w:pPr>
            <w:r>
              <w:t xml:space="preserve">Awaiting decision on FSANZ Board recommendation from the </w:t>
            </w:r>
            <w:r w:rsidRPr="00995988">
              <w:rPr>
                <w:lang w:val="en-AU"/>
              </w:rPr>
              <w:t>Australia and New Zealand Ministerial Forum on Food Regulation</w:t>
            </w:r>
          </w:p>
        </w:tc>
      </w:tr>
    </w:tbl>
    <w:p w14:paraId="080C9ED8" w14:textId="17D53541" w:rsidR="00443880" w:rsidRDefault="00443880" w:rsidP="00817A18">
      <w:pPr>
        <w:pStyle w:val="Heading2"/>
      </w:pPr>
      <w:bookmarkStart w:id="23" w:name="_Toc522718980"/>
      <w:bookmarkStart w:id="24" w:name="_Toc522712018"/>
      <w:bookmarkStart w:id="25" w:name="_Toc523830652"/>
      <w:bookmarkStart w:id="26" w:name="_Toc526337817"/>
      <w:bookmarkStart w:id="27" w:name="_Toc526343076"/>
      <w:r>
        <w:t xml:space="preserve">Objective </w:t>
      </w:r>
      <w:r w:rsidR="006013C1">
        <w:t xml:space="preserve">for </w:t>
      </w:r>
      <w:r>
        <w:t>the food technology assessment</w:t>
      </w:r>
      <w:bookmarkEnd w:id="23"/>
      <w:bookmarkEnd w:id="24"/>
      <w:bookmarkEnd w:id="25"/>
      <w:bookmarkEnd w:id="26"/>
      <w:bookmarkEnd w:id="27"/>
    </w:p>
    <w:p w14:paraId="3489DD7B" w14:textId="29D1E2B0" w:rsidR="0079496A" w:rsidRPr="0079496A" w:rsidRDefault="007B6648" w:rsidP="0079496A">
      <w:pPr>
        <w:rPr>
          <w:lang w:bidi="ar-SA"/>
        </w:rPr>
      </w:pPr>
      <w:r>
        <w:rPr>
          <w:lang w:bidi="ar-SA"/>
        </w:rPr>
        <w:t>The objective of the food technology assessment is t</w:t>
      </w:r>
      <w:r w:rsidR="0079496A">
        <w:rPr>
          <w:lang w:bidi="ar-SA"/>
        </w:rPr>
        <w:t xml:space="preserve">o determine whether steviol glycosides used as a food additive in the form and quantity proposed achieves </w:t>
      </w:r>
      <w:r>
        <w:rPr>
          <w:lang w:bidi="ar-SA"/>
        </w:rPr>
        <w:t xml:space="preserve">the </w:t>
      </w:r>
      <w:r w:rsidR="0079496A">
        <w:rPr>
          <w:lang w:bidi="ar-SA"/>
        </w:rPr>
        <w:t>technological purpose as an intense sweetener</w:t>
      </w:r>
      <w:r w:rsidR="00FD2780">
        <w:rPr>
          <w:lang w:bidi="ar-SA"/>
        </w:rPr>
        <w:t xml:space="preserve"> in fruit drinks</w:t>
      </w:r>
      <w:r w:rsidR="0079496A">
        <w:rPr>
          <w:lang w:bidi="ar-SA"/>
        </w:rPr>
        <w:t xml:space="preserve">. </w:t>
      </w:r>
    </w:p>
    <w:p w14:paraId="3F08059B" w14:textId="4CA90690" w:rsidR="00443880" w:rsidRDefault="00443880" w:rsidP="00817A18">
      <w:pPr>
        <w:pStyle w:val="Heading2"/>
      </w:pPr>
      <w:bookmarkStart w:id="28" w:name="_Toc522718981"/>
      <w:bookmarkStart w:id="29" w:name="_Toc522712019"/>
      <w:bookmarkStart w:id="30" w:name="_Toc523830653"/>
      <w:bookmarkStart w:id="31" w:name="_Toc526337818"/>
      <w:bookmarkStart w:id="32" w:name="_Toc526343077"/>
      <w:r>
        <w:t>Chemical and physical properties</w:t>
      </w:r>
      <w:bookmarkEnd w:id="28"/>
      <w:bookmarkEnd w:id="29"/>
      <w:bookmarkEnd w:id="30"/>
      <w:bookmarkEnd w:id="31"/>
      <w:bookmarkEnd w:id="32"/>
    </w:p>
    <w:p w14:paraId="5C4C1888" w14:textId="66B87CC4" w:rsidR="008174CC" w:rsidRDefault="001D64DC" w:rsidP="000457A3">
      <w:r>
        <w:rPr>
          <w:lang w:bidi="ar-SA"/>
        </w:rPr>
        <w:t xml:space="preserve">The purified extract from the leaves of </w:t>
      </w:r>
      <w:r w:rsidRPr="00502138">
        <w:rPr>
          <w:i/>
          <w:lang w:bidi="ar-SA"/>
        </w:rPr>
        <w:t>Stevia rebaudiana</w:t>
      </w:r>
      <w:r>
        <w:rPr>
          <w:lang w:bidi="ar-SA"/>
        </w:rPr>
        <w:t xml:space="preserve"> </w:t>
      </w:r>
      <w:r w:rsidR="007142AA">
        <w:rPr>
          <w:lang w:bidi="ar-SA"/>
        </w:rPr>
        <w:t xml:space="preserve">Bertoni </w:t>
      </w:r>
      <w:r>
        <w:rPr>
          <w:lang w:bidi="ar-SA"/>
        </w:rPr>
        <w:t xml:space="preserve">contain different glycosides of steviol, referred to as steviol glycosides. </w:t>
      </w:r>
      <w:r w:rsidR="005D3CB5">
        <w:t xml:space="preserve">Each of the glycosides contains steviol as a common central component of its molecular structure and </w:t>
      </w:r>
      <w:r w:rsidR="00A00E7B">
        <w:t xml:space="preserve">then </w:t>
      </w:r>
      <w:r w:rsidR="005D3CB5">
        <w:t>different sugar moieties</w:t>
      </w:r>
      <w:r w:rsidR="008A0BC6">
        <w:t xml:space="preserve"> (glucose, rhamnose, fructose, deoxyglucose xylose, galactose, arabinose and xylose)</w:t>
      </w:r>
      <w:r w:rsidR="005D3CB5">
        <w:t xml:space="preserve"> forming the glycoside. </w:t>
      </w:r>
      <w:bookmarkStart w:id="33" w:name="_Toc522718982"/>
      <w:bookmarkStart w:id="34" w:name="_Toc522712020"/>
      <w:r w:rsidR="008174CC" w:rsidRPr="00B37CDB">
        <w:t>Figure 1</w:t>
      </w:r>
      <w:r w:rsidR="004C1B55">
        <w:t xml:space="preserve"> </w:t>
      </w:r>
      <w:r w:rsidR="008174CC">
        <w:t>provide</w:t>
      </w:r>
      <w:r w:rsidR="008242A2">
        <w:t>s</w:t>
      </w:r>
      <w:r w:rsidR="004C1B55">
        <w:t xml:space="preserve"> </w:t>
      </w:r>
      <w:r w:rsidR="008174CC">
        <w:t>the</w:t>
      </w:r>
      <w:r w:rsidR="0077399B" w:rsidDel="00B54DA3">
        <w:t xml:space="preserve"> </w:t>
      </w:r>
      <w:r w:rsidR="008174CC">
        <w:t>structur</w:t>
      </w:r>
      <w:r w:rsidR="0077399B">
        <w:t xml:space="preserve">al formula </w:t>
      </w:r>
      <w:r w:rsidR="008174CC">
        <w:t>for steviol</w:t>
      </w:r>
      <w:r w:rsidR="008242A2">
        <w:t xml:space="preserve"> and related glycosides (</w:t>
      </w:r>
      <w:r w:rsidR="00AE5426">
        <w:t>JECFA</w:t>
      </w:r>
      <w:r w:rsidR="008242A2">
        <w:t xml:space="preserve"> </w:t>
      </w:r>
      <w:r w:rsidR="00AA13BD">
        <w:t>2017</w:t>
      </w:r>
      <w:r w:rsidR="006C1E1C">
        <w:t>b</w:t>
      </w:r>
      <w:r w:rsidR="008242A2">
        <w:t xml:space="preserve">). </w:t>
      </w:r>
      <w:r w:rsidR="008174CC">
        <w:t xml:space="preserve"> </w:t>
      </w:r>
    </w:p>
    <w:p w14:paraId="38E8286D" w14:textId="5222BF31" w:rsidR="00896A24" w:rsidRDefault="00896A24" w:rsidP="000457A3"/>
    <w:p w14:paraId="1D18E249" w14:textId="2ADC94F5" w:rsidR="008242A2" w:rsidRDefault="00AA13BD" w:rsidP="008242A2">
      <w:r>
        <w:t>S</w:t>
      </w:r>
      <w:r w:rsidR="008242A2">
        <w:t xml:space="preserve">teviol glycosides </w:t>
      </w:r>
      <w:r w:rsidR="00D405A2">
        <w:t>are</w:t>
      </w:r>
      <w:r w:rsidR="008242A2">
        <w:t xml:space="preserve"> categorised into </w:t>
      </w:r>
      <w:r w:rsidR="00D405A2">
        <w:t xml:space="preserve">7 </w:t>
      </w:r>
      <w:r w:rsidR="008242A2">
        <w:t>different groups based on the type of glycosidic residues linked to the steviol backbone.</w:t>
      </w:r>
      <w:r w:rsidR="00D405A2">
        <w:t xml:space="preserve"> These groups and common names </w:t>
      </w:r>
      <w:r w:rsidR="000109DD">
        <w:t xml:space="preserve">for steviol glycoside components </w:t>
      </w:r>
      <w:r w:rsidR="00D405A2">
        <w:t>are summarised in Table 2 (</w:t>
      </w:r>
      <w:r w:rsidR="00AE5426">
        <w:t>JECFA</w:t>
      </w:r>
      <w:r w:rsidR="00670C0A">
        <w:t xml:space="preserve"> </w:t>
      </w:r>
      <w:r w:rsidR="00D405A2">
        <w:t>2017</w:t>
      </w:r>
      <w:r w:rsidR="00424461">
        <w:t>b</w:t>
      </w:r>
      <w:r w:rsidR="00D405A2">
        <w:t xml:space="preserve">). </w:t>
      </w:r>
    </w:p>
    <w:p w14:paraId="7E3E02FB" w14:textId="77777777" w:rsidR="008242A2" w:rsidRDefault="008242A2" w:rsidP="008242A2"/>
    <w:p w14:paraId="1A0D9684" w14:textId="019843F2" w:rsidR="00896A24" w:rsidRPr="008174CC" w:rsidRDefault="00896A24" w:rsidP="008242A2">
      <w:pPr>
        <w:rPr>
          <w:i/>
        </w:rPr>
      </w:pPr>
      <w:r>
        <w:t xml:space="preserve">Commercial steviol glycoside preparations are white to light yellow powders that are soluble in </w:t>
      </w:r>
      <w:r w:rsidR="000A7AF5">
        <w:t xml:space="preserve">50:50 </w:t>
      </w:r>
      <w:r>
        <w:t>ethanol and water mixtures</w:t>
      </w:r>
      <w:r w:rsidR="000A7AF5">
        <w:t xml:space="preserve"> and are</w:t>
      </w:r>
      <w:r>
        <w:t xml:space="preserve"> odourless or </w:t>
      </w:r>
      <w:r w:rsidR="002C10CF">
        <w:t>have</w:t>
      </w:r>
      <w:r>
        <w:t xml:space="preserve"> a slight odour</w:t>
      </w:r>
      <w:r w:rsidR="000A7AF5">
        <w:t xml:space="preserve"> (FAO 2016)</w:t>
      </w:r>
      <w:r>
        <w:t>.</w:t>
      </w:r>
    </w:p>
    <w:p w14:paraId="6651BA98" w14:textId="3BDF22C6" w:rsidR="008174CC" w:rsidRDefault="008174CC" w:rsidP="000457A3">
      <w:pPr>
        <w:rPr>
          <w:lang w:bidi="ar-SA"/>
        </w:rPr>
      </w:pPr>
    </w:p>
    <w:p w14:paraId="58D7CB35" w14:textId="76126D37" w:rsidR="008174CC" w:rsidRDefault="008174CC" w:rsidP="000457A3">
      <w:pPr>
        <w:rPr>
          <w:lang w:bidi="ar-SA"/>
        </w:rPr>
      </w:pPr>
      <w:r>
        <w:rPr>
          <w:noProof/>
          <w:lang w:eastAsia="en-GB" w:bidi="ar-SA"/>
        </w:rPr>
        <w:drawing>
          <wp:inline distT="0" distB="0" distL="0" distR="0" wp14:anchorId="3BF4D05D" wp14:editId="39EA6384">
            <wp:extent cx="2381250" cy="1824102"/>
            <wp:effectExtent l="0" t="0" r="0"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19449" t="13830" r="15887" b="6915"/>
                    <a:stretch>
                      <a:fillRect/>
                    </a:stretch>
                  </pic:blipFill>
                  <pic:spPr bwMode="auto">
                    <a:xfrm>
                      <a:off x="0" y="0"/>
                      <a:ext cx="2383907" cy="1826137"/>
                    </a:xfrm>
                    <a:prstGeom prst="rect">
                      <a:avLst/>
                    </a:prstGeom>
                    <a:noFill/>
                    <a:ln w="9525">
                      <a:noFill/>
                      <a:miter lim="800000"/>
                      <a:headEnd/>
                      <a:tailEnd/>
                    </a:ln>
                  </pic:spPr>
                </pic:pic>
              </a:graphicData>
            </a:graphic>
          </wp:inline>
        </w:drawing>
      </w:r>
    </w:p>
    <w:p w14:paraId="3FC75692" w14:textId="0F907E8C" w:rsidR="008174CC" w:rsidRDefault="008174CC" w:rsidP="000457A3">
      <w:pPr>
        <w:rPr>
          <w:lang w:bidi="ar-SA"/>
        </w:rPr>
      </w:pPr>
    </w:p>
    <w:p w14:paraId="252DA323" w14:textId="3A39BAF3" w:rsidR="0077399B" w:rsidRDefault="0077399B" w:rsidP="002D3BF9">
      <w:pPr>
        <w:pStyle w:val="FSFigureTitle"/>
        <w:rPr>
          <w:lang w:bidi="ar-SA"/>
        </w:rPr>
      </w:pPr>
      <w:r w:rsidRPr="002D3BF9">
        <w:rPr>
          <w:b/>
          <w:lang w:bidi="ar-SA"/>
        </w:rPr>
        <w:t>Figure 1</w:t>
      </w:r>
      <w:r>
        <w:rPr>
          <w:lang w:bidi="ar-SA"/>
        </w:rPr>
        <w:t xml:space="preserve"> Structural formula</w:t>
      </w:r>
      <w:r w:rsidDel="00B54DA3">
        <w:rPr>
          <w:lang w:bidi="ar-SA"/>
        </w:rPr>
        <w:t xml:space="preserve"> </w:t>
      </w:r>
      <w:r>
        <w:rPr>
          <w:lang w:bidi="ar-SA"/>
        </w:rPr>
        <w:t xml:space="preserve">for steviol </w:t>
      </w:r>
      <w:r w:rsidR="002D3BF9">
        <w:rPr>
          <w:lang w:bidi="ar-SA"/>
        </w:rPr>
        <w:t xml:space="preserve">and related </w:t>
      </w:r>
      <w:r>
        <w:rPr>
          <w:lang w:bidi="ar-SA"/>
        </w:rPr>
        <w:t>glycosides</w:t>
      </w:r>
    </w:p>
    <w:p w14:paraId="1FF9909A" w14:textId="794FDD75" w:rsidR="0077399B" w:rsidRDefault="0077399B" w:rsidP="000457A3">
      <w:pPr>
        <w:rPr>
          <w:lang w:bidi="ar-SA"/>
        </w:rPr>
      </w:pPr>
    </w:p>
    <w:p w14:paraId="3D59BDAD" w14:textId="77777777" w:rsidR="002959B8" w:rsidRDefault="002959B8">
      <w:pPr>
        <w:widowControl/>
        <w:rPr>
          <w:rFonts w:cs="Arial"/>
          <w:b/>
          <w:i/>
        </w:rPr>
      </w:pPr>
      <w:r>
        <w:rPr>
          <w:b/>
        </w:rPr>
        <w:br w:type="page"/>
      </w:r>
    </w:p>
    <w:p w14:paraId="07EFC0DA" w14:textId="56CCCC74" w:rsidR="000279AC" w:rsidRPr="002959B8" w:rsidRDefault="000279AC" w:rsidP="000109DD">
      <w:pPr>
        <w:pStyle w:val="FSTableFigureHeading"/>
      </w:pPr>
      <w:r w:rsidRPr="002959B8">
        <w:lastRenderedPageBreak/>
        <w:t>Table</w:t>
      </w:r>
      <w:r>
        <w:t xml:space="preserve"> 2</w:t>
      </w:r>
      <w:r w:rsidR="002959B8">
        <w:t xml:space="preserve"> </w:t>
      </w:r>
      <w:r w:rsidR="00FB7026">
        <w:rPr>
          <w:b w:val="0"/>
        </w:rPr>
        <w:t>Steviol glycoside</w:t>
      </w:r>
      <w:r w:rsidR="00E71A0D">
        <w:rPr>
          <w:b w:val="0"/>
        </w:rPr>
        <w:t xml:space="preserve"> groups and components</w:t>
      </w:r>
      <w:r w:rsidRPr="002959B8">
        <w:rPr>
          <w:b w:val="0"/>
        </w:rPr>
        <w:t xml:space="preserve"> (</w:t>
      </w:r>
      <w:r w:rsidR="00AE5426">
        <w:rPr>
          <w:b w:val="0"/>
        </w:rPr>
        <w:t xml:space="preserve">JECFA </w:t>
      </w:r>
      <w:r w:rsidR="00FB7026" w:rsidRPr="002959B8">
        <w:rPr>
          <w:b w:val="0"/>
        </w:rPr>
        <w:t>201</w:t>
      </w:r>
      <w:r w:rsidR="00FB7026">
        <w:rPr>
          <w:b w:val="0"/>
        </w:rPr>
        <w:t>7</w:t>
      </w:r>
      <w:r w:rsidR="00424461">
        <w:rPr>
          <w:b w:val="0"/>
        </w:rPr>
        <w:t>b</w:t>
      </w:r>
      <w:r w:rsidRPr="002959B8">
        <w:rPr>
          <w:b w:val="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Caption w:val="Table 2 SChemical information for steviol glycosides identified in commercial preparations"/>
        <w:tblDescription w:val="Table 21 contains chemical information on the 3 groups of steviol glycosides - depending on the type of glycosidic residue linked to the steviol backbone."/>
      </w:tblPr>
      <w:tblGrid>
        <w:gridCol w:w="8505"/>
      </w:tblGrid>
      <w:tr w:rsidR="002C10CF" w:rsidRPr="005F5244" w14:paraId="0D229EDF" w14:textId="77777777" w:rsidTr="00476AAE">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330620BC" w14:textId="6B39152E" w:rsidR="002C10CF" w:rsidRPr="005C7A9D" w:rsidRDefault="002C10CF" w:rsidP="002C10CF">
            <w:pPr>
              <w:spacing w:before="40" w:after="40"/>
              <w:ind w:left="57" w:right="57"/>
              <w:rPr>
                <w:b/>
              </w:rPr>
            </w:pPr>
            <w:r w:rsidRPr="005C7A9D">
              <w:rPr>
                <w:b/>
              </w:rPr>
              <w:t>Group 1 Steviol + Glucose</w:t>
            </w:r>
            <w:r w:rsidR="006A11A6">
              <w:rPr>
                <w:b/>
              </w:rPr>
              <w:t xml:space="preserve"> (SvGn)</w:t>
            </w:r>
          </w:p>
        </w:tc>
      </w:tr>
      <w:tr w:rsidR="006A11A6" w:rsidRPr="005F5244" w14:paraId="4DD3CCA1"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tcPr>
          <w:p w14:paraId="2AE3E4B4" w14:textId="4922F1CB" w:rsidR="006A11A6" w:rsidRDefault="006A11A6" w:rsidP="00476AAE">
            <w:pPr>
              <w:spacing w:before="40" w:after="40"/>
              <w:ind w:left="57" w:right="57"/>
            </w:pPr>
            <w:r>
              <w:t xml:space="preserve">Steviolmonoside, Steviolmonoside A, Rubososide, Steviolbioside, Stevioside, Stevioside A, Stevioside B, Rebaudioside B, Rebaudioside G, Rebaudioside E, Rebaudioside A, Rebaudioside A2, Rebaudioside D, Rebaudioside L, </w:t>
            </w:r>
            <w:r w:rsidR="00963086">
              <w:t>Rebaudioside I, Rebaudioside I2,  Rebaudioside I3, Rebaudioside Q, Rebaudioside Q2, Rebaudioside Q3, Rebaudioside M, 5 additional related SvGn</w:t>
            </w:r>
          </w:p>
          <w:p w14:paraId="60DB0821" w14:textId="685F4B98" w:rsidR="006A11A6" w:rsidRDefault="006A11A6" w:rsidP="00963086">
            <w:pPr>
              <w:spacing w:before="40" w:after="40"/>
              <w:ind w:right="57"/>
              <w:rPr>
                <w:rFonts w:cs="Arial"/>
                <w:i/>
                <w:iCs/>
              </w:rPr>
            </w:pPr>
          </w:p>
        </w:tc>
      </w:tr>
      <w:tr w:rsidR="00476AAE" w:rsidRPr="005F5244" w14:paraId="7CA14722" w14:textId="77777777" w:rsidTr="00476AAE">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521CC24" w14:textId="4CA5BF9C" w:rsidR="00476AAE" w:rsidRPr="005C7A9D" w:rsidRDefault="00476AAE" w:rsidP="00476AAE">
            <w:pPr>
              <w:spacing w:before="40" w:after="40"/>
              <w:ind w:left="57" w:right="57"/>
              <w:rPr>
                <w:b/>
              </w:rPr>
            </w:pPr>
            <w:r w:rsidRPr="005C7A9D">
              <w:rPr>
                <w:b/>
              </w:rPr>
              <w:t>Group 2 Steviol + Rhamnose + Glucose</w:t>
            </w:r>
            <w:r w:rsidR="00963086">
              <w:rPr>
                <w:b/>
              </w:rPr>
              <w:t xml:space="preserve"> (SvR1Gn)</w:t>
            </w:r>
          </w:p>
        </w:tc>
      </w:tr>
      <w:tr w:rsidR="00963086" w:rsidRPr="005F5244" w14:paraId="069678A7"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tcPr>
          <w:p w14:paraId="7D718208" w14:textId="3709CA54" w:rsidR="00963086" w:rsidRDefault="00963086" w:rsidP="00E71A0D">
            <w:pPr>
              <w:spacing w:before="40" w:after="40"/>
              <w:ind w:left="57" w:right="57"/>
              <w:rPr>
                <w:rFonts w:cs="Arial"/>
                <w:i/>
                <w:iCs/>
              </w:rPr>
            </w:pPr>
            <w:r>
              <w:t>D</w:t>
            </w:r>
            <w:r w:rsidRPr="005F5244">
              <w:t>ulcoside A</w:t>
            </w:r>
            <w:r>
              <w:t>, D</w:t>
            </w:r>
            <w:r w:rsidRPr="005F5244">
              <w:t xml:space="preserve">ulcoside </w:t>
            </w:r>
            <w:r>
              <w:t xml:space="preserve">C, Rebaudioside C, Rebaudioside C2, Rebaudioside N, Rebaudioside O, </w:t>
            </w:r>
            <w:r w:rsidR="00E71A0D">
              <w:t>Rebaudioside O2, Rebaudioside K, Rebaudioside S, Rebaudioside K2, Rebaudioside H, Rebaudioside J</w:t>
            </w:r>
          </w:p>
        </w:tc>
      </w:tr>
      <w:tr w:rsidR="008174CC" w:rsidRPr="005F5244" w14:paraId="4CAC4D7B" w14:textId="77777777" w:rsidTr="00476AAE">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2067E441" w14:textId="4D98007F" w:rsidR="008174CC" w:rsidRPr="005C7A9D" w:rsidRDefault="00476AAE" w:rsidP="000D76F3">
            <w:pPr>
              <w:spacing w:before="40" w:after="40"/>
              <w:ind w:left="57" w:right="57"/>
              <w:rPr>
                <w:b/>
              </w:rPr>
            </w:pPr>
            <w:r w:rsidRPr="005C7A9D">
              <w:rPr>
                <w:b/>
              </w:rPr>
              <w:t>Group 3 Steviol + Xylose + Glucose</w:t>
            </w:r>
            <w:r w:rsidR="00E71A0D">
              <w:rPr>
                <w:b/>
              </w:rPr>
              <w:t xml:space="preserve"> (Steviol + Xylose + Glucose (SvX1Gn)</w:t>
            </w:r>
          </w:p>
        </w:tc>
      </w:tr>
      <w:tr w:rsidR="00E71A0D" w:rsidRPr="005F5244" w14:paraId="458330CD"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tcPr>
          <w:p w14:paraId="3E3E9B40" w14:textId="6C396524" w:rsidR="00E71A0D" w:rsidRDefault="00E71A0D" w:rsidP="000D76F3">
            <w:pPr>
              <w:spacing w:before="40" w:after="40"/>
              <w:ind w:left="57" w:right="57"/>
            </w:pPr>
            <w:r>
              <w:t>Stevioside</w:t>
            </w:r>
            <w:r w:rsidRPr="005F5244">
              <w:t xml:space="preserve"> F</w:t>
            </w:r>
            <w:r>
              <w:t>, Rebaudioside F, Rebaudioside F2, Rebaudioside F3, Rebaudioside R,  Rebaudioside U2, Rebaudioside T, Rebaudioside V2, Rebaudioside V</w:t>
            </w:r>
          </w:p>
          <w:p w14:paraId="62DCA3C2" w14:textId="1F23BCEB" w:rsidR="00E71A0D" w:rsidRDefault="00E71A0D" w:rsidP="00E71A0D">
            <w:pPr>
              <w:spacing w:before="40" w:after="40"/>
              <w:ind w:right="57"/>
            </w:pPr>
          </w:p>
        </w:tc>
      </w:tr>
      <w:tr w:rsidR="00E71A0D" w:rsidRPr="005C7A9D" w14:paraId="5EECF383"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4226A0A0" w14:textId="2B272B55" w:rsidR="00E71A0D" w:rsidRPr="005C7A9D" w:rsidRDefault="00E71A0D" w:rsidP="00E71A0D">
            <w:pPr>
              <w:spacing w:before="40" w:after="40"/>
              <w:ind w:left="57" w:right="57"/>
              <w:rPr>
                <w:b/>
              </w:rPr>
            </w:pPr>
            <w:r w:rsidRPr="005C7A9D">
              <w:rPr>
                <w:b/>
              </w:rPr>
              <w:t xml:space="preserve">Group </w:t>
            </w:r>
            <w:r>
              <w:rPr>
                <w:b/>
              </w:rPr>
              <w:t>4</w:t>
            </w:r>
            <w:r w:rsidRPr="005C7A9D">
              <w:rPr>
                <w:b/>
              </w:rPr>
              <w:t xml:space="preserve"> Steviol + </w:t>
            </w:r>
            <w:r>
              <w:rPr>
                <w:b/>
              </w:rPr>
              <w:t>Arabinose</w:t>
            </w:r>
            <w:r w:rsidRPr="005C7A9D">
              <w:rPr>
                <w:b/>
              </w:rPr>
              <w:t xml:space="preserve"> + Glucose</w:t>
            </w:r>
            <w:r>
              <w:rPr>
                <w:b/>
              </w:rPr>
              <w:t xml:space="preserve"> (SvA1Gn)</w:t>
            </w:r>
          </w:p>
        </w:tc>
      </w:tr>
      <w:tr w:rsidR="00E71A0D" w14:paraId="64321635"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tcPr>
          <w:p w14:paraId="4346DD2E" w14:textId="4EA4C016" w:rsidR="00E71A0D" w:rsidRDefault="00E71A0D" w:rsidP="005E372C">
            <w:pPr>
              <w:spacing w:before="40" w:after="40"/>
              <w:ind w:left="57" w:right="57"/>
            </w:pPr>
            <w:r>
              <w:t>Rebaudioside U, Rebaudioside W, Rebaudioside W2, Rebaudioside W3, Rebaudioside Y</w:t>
            </w:r>
          </w:p>
          <w:p w14:paraId="109FF977" w14:textId="77777777" w:rsidR="00E71A0D" w:rsidRDefault="00E71A0D" w:rsidP="005E372C">
            <w:pPr>
              <w:spacing w:before="40" w:after="40"/>
              <w:ind w:right="57"/>
            </w:pPr>
          </w:p>
        </w:tc>
      </w:tr>
      <w:tr w:rsidR="000109DD" w:rsidRPr="005C7A9D" w14:paraId="2E1B1643" w14:textId="77777777" w:rsidTr="000109DD">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6F91EAF" w14:textId="6492273E" w:rsidR="000109DD" w:rsidRPr="000109DD" w:rsidRDefault="000109DD" w:rsidP="000109DD">
            <w:pPr>
              <w:spacing w:before="40" w:after="40"/>
              <w:ind w:left="57" w:right="57"/>
              <w:rPr>
                <w:b/>
              </w:rPr>
            </w:pPr>
            <w:r w:rsidRPr="000109DD">
              <w:rPr>
                <w:b/>
              </w:rPr>
              <w:t>Group 5 Steviol + Galactose + Glucose (SvGa1Gn)</w:t>
            </w:r>
          </w:p>
        </w:tc>
      </w:tr>
      <w:tr w:rsidR="000109DD" w14:paraId="4FB188BC" w14:textId="77777777" w:rsidTr="000109DD">
        <w:trPr>
          <w:tblCellSpacing w:w="0" w:type="dxa"/>
        </w:trPr>
        <w:tc>
          <w:tcPr>
            <w:tcW w:w="8505" w:type="dxa"/>
            <w:tcBorders>
              <w:top w:val="outset" w:sz="6" w:space="0" w:color="auto"/>
              <w:left w:val="outset" w:sz="6" w:space="0" w:color="auto"/>
              <w:bottom w:val="outset" w:sz="6" w:space="0" w:color="auto"/>
              <w:right w:val="outset" w:sz="6" w:space="0" w:color="auto"/>
            </w:tcBorders>
          </w:tcPr>
          <w:p w14:paraId="4A6ED1D6" w14:textId="7C5832B2" w:rsidR="000109DD" w:rsidRDefault="000109DD" w:rsidP="000109DD">
            <w:pPr>
              <w:spacing w:before="40" w:after="40"/>
              <w:ind w:left="57" w:right="57"/>
            </w:pPr>
            <w:r>
              <w:t>Rebaudioside T1</w:t>
            </w:r>
          </w:p>
          <w:p w14:paraId="7320E301" w14:textId="2930A676" w:rsidR="000109DD" w:rsidRDefault="000109DD" w:rsidP="000109DD">
            <w:pPr>
              <w:spacing w:before="40" w:after="40"/>
              <w:ind w:left="57" w:right="57"/>
            </w:pPr>
          </w:p>
        </w:tc>
      </w:tr>
      <w:tr w:rsidR="000109DD" w:rsidRPr="000109DD" w14:paraId="3C396982"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2A593B01" w14:textId="64FD4E5B" w:rsidR="000109DD" w:rsidRPr="000109DD" w:rsidRDefault="000109DD" w:rsidP="000109DD">
            <w:pPr>
              <w:spacing w:before="40" w:after="40"/>
              <w:ind w:left="57" w:right="57"/>
              <w:rPr>
                <w:b/>
              </w:rPr>
            </w:pPr>
            <w:r w:rsidRPr="000109DD">
              <w:rPr>
                <w:b/>
              </w:rPr>
              <w:t xml:space="preserve">Group </w:t>
            </w:r>
            <w:r>
              <w:rPr>
                <w:b/>
              </w:rPr>
              <w:t>6</w:t>
            </w:r>
            <w:r w:rsidRPr="000109DD">
              <w:rPr>
                <w:b/>
              </w:rPr>
              <w:t xml:space="preserve"> Steviol + </w:t>
            </w:r>
            <w:r>
              <w:rPr>
                <w:b/>
              </w:rPr>
              <w:t>Fructose</w:t>
            </w:r>
            <w:r w:rsidRPr="000109DD">
              <w:rPr>
                <w:b/>
              </w:rPr>
              <w:t xml:space="preserve"> + Glucose (Sv</w:t>
            </w:r>
            <w:r>
              <w:rPr>
                <w:b/>
              </w:rPr>
              <w:t>Fru</w:t>
            </w:r>
            <w:r w:rsidRPr="000109DD">
              <w:rPr>
                <w:b/>
              </w:rPr>
              <w:t>Gn)</w:t>
            </w:r>
          </w:p>
        </w:tc>
      </w:tr>
      <w:tr w:rsidR="000109DD" w14:paraId="7F613834"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tcPr>
          <w:p w14:paraId="01917965" w14:textId="0574421A" w:rsidR="000109DD" w:rsidRDefault="000109DD" w:rsidP="005E372C">
            <w:pPr>
              <w:spacing w:before="40" w:after="40"/>
              <w:ind w:left="57" w:right="57"/>
            </w:pPr>
            <w:r>
              <w:t>Rebaudioside A3</w:t>
            </w:r>
          </w:p>
          <w:p w14:paraId="44EAD103" w14:textId="77777777" w:rsidR="000109DD" w:rsidRDefault="000109DD" w:rsidP="005E372C">
            <w:pPr>
              <w:spacing w:before="40" w:after="40"/>
              <w:ind w:left="57" w:right="57"/>
            </w:pPr>
          </w:p>
        </w:tc>
      </w:tr>
      <w:tr w:rsidR="000109DD" w:rsidRPr="000109DD" w14:paraId="79920B3B"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3BC4AE5" w14:textId="3856698C" w:rsidR="000109DD" w:rsidRPr="000109DD" w:rsidRDefault="000109DD" w:rsidP="000109DD">
            <w:pPr>
              <w:spacing w:before="40" w:after="40"/>
              <w:ind w:left="57" w:right="57"/>
              <w:rPr>
                <w:b/>
              </w:rPr>
            </w:pPr>
            <w:r w:rsidRPr="000109DD">
              <w:rPr>
                <w:b/>
              </w:rPr>
              <w:t xml:space="preserve">Group </w:t>
            </w:r>
            <w:r>
              <w:rPr>
                <w:b/>
              </w:rPr>
              <w:t>7</w:t>
            </w:r>
            <w:r w:rsidRPr="000109DD">
              <w:rPr>
                <w:b/>
              </w:rPr>
              <w:t xml:space="preserve"> Steviol + </w:t>
            </w:r>
            <w:r>
              <w:rPr>
                <w:b/>
              </w:rPr>
              <w:t>-De-oxy glucose</w:t>
            </w:r>
            <w:r w:rsidRPr="000109DD">
              <w:rPr>
                <w:b/>
              </w:rPr>
              <w:t xml:space="preserve"> + Glucose (Sv</w:t>
            </w:r>
            <w:r>
              <w:rPr>
                <w:b/>
              </w:rPr>
              <w:t>dG1</w:t>
            </w:r>
            <w:r w:rsidRPr="000109DD">
              <w:rPr>
                <w:b/>
              </w:rPr>
              <w:t>Gn)</w:t>
            </w:r>
          </w:p>
        </w:tc>
      </w:tr>
      <w:tr w:rsidR="000109DD" w14:paraId="1EABF7B5" w14:textId="77777777" w:rsidTr="005E372C">
        <w:trPr>
          <w:tblCellSpacing w:w="0" w:type="dxa"/>
        </w:trPr>
        <w:tc>
          <w:tcPr>
            <w:tcW w:w="8505" w:type="dxa"/>
            <w:tcBorders>
              <w:top w:val="outset" w:sz="6" w:space="0" w:color="auto"/>
              <w:left w:val="outset" w:sz="6" w:space="0" w:color="auto"/>
              <w:bottom w:val="outset" w:sz="6" w:space="0" w:color="auto"/>
              <w:right w:val="outset" w:sz="6" w:space="0" w:color="auto"/>
            </w:tcBorders>
          </w:tcPr>
          <w:p w14:paraId="3AC896F3" w14:textId="77777777" w:rsidR="000109DD" w:rsidRDefault="000109DD" w:rsidP="005E372C">
            <w:pPr>
              <w:spacing w:before="40" w:after="40"/>
              <w:ind w:left="57" w:right="57"/>
            </w:pPr>
            <w:r>
              <w:t>Stevioside D, Stevioside E, Stevioside E2</w:t>
            </w:r>
          </w:p>
          <w:p w14:paraId="277DC2EE" w14:textId="45ED46F9" w:rsidR="000109DD" w:rsidRDefault="000109DD" w:rsidP="005E372C">
            <w:pPr>
              <w:spacing w:before="40" w:after="40"/>
              <w:ind w:left="57" w:right="57"/>
            </w:pPr>
          </w:p>
        </w:tc>
      </w:tr>
    </w:tbl>
    <w:p w14:paraId="62DAFCBA" w14:textId="3EE5DE17" w:rsidR="008174CC" w:rsidRPr="00AC10A0" w:rsidRDefault="008174CC" w:rsidP="008174CC">
      <w:pPr>
        <w:rPr>
          <w:sz w:val="20"/>
          <w:szCs w:val="20"/>
        </w:rPr>
      </w:pPr>
    </w:p>
    <w:p w14:paraId="5183E9B1" w14:textId="6D261665" w:rsidR="00443880" w:rsidRDefault="00443880" w:rsidP="00817A18">
      <w:pPr>
        <w:pStyle w:val="Heading2"/>
      </w:pPr>
      <w:bookmarkStart w:id="35" w:name="_Toc523830654"/>
      <w:bookmarkStart w:id="36" w:name="_Toc526337819"/>
      <w:bookmarkStart w:id="37" w:name="_Toc526343078"/>
      <w:r>
        <w:t>Technological purpose</w:t>
      </w:r>
      <w:bookmarkEnd w:id="33"/>
      <w:bookmarkEnd w:id="34"/>
      <w:bookmarkEnd w:id="35"/>
      <w:bookmarkEnd w:id="36"/>
      <w:bookmarkEnd w:id="37"/>
    </w:p>
    <w:p w14:paraId="0A01C048" w14:textId="6A049212" w:rsidR="0029152E" w:rsidRDefault="0070570C" w:rsidP="003A3B63">
      <w:bookmarkStart w:id="38" w:name="_Toc522718983"/>
      <w:bookmarkStart w:id="39" w:name="_Toc522712021"/>
      <w:r>
        <w:t xml:space="preserve">From </w:t>
      </w:r>
      <w:r w:rsidR="00DA6F1B">
        <w:t xml:space="preserve">information </w:t>
      </w:r>
      <w:r w:rsidR="0029152E">
        <w:t xml:space="preserve">assessed </w:t>
      </w:r>
      <w:r w:rsidR="00DA6F1B">
        <w:t xml:space="preserve">in </w:t>
      </w:r>
      <w:r>
        <w:t xml:space="preserve">previous </w:t>
      </w:r>
      <w:r w:rsidR="0029152E">
        <w:t>applications;</w:t>
      </w:r>
      <w:r w:rsidR="00DA6F1B">
        <w:t xml:space="preserve"> </w:t>
      </w:r>
      <w:r w:rsidR="0029152E">
        <w:t>A540</w:t>
      </w:r>
      <w:r w:rsidR="00392D31">
        <w:t>,</w:t>
      </w:r>
      <w:r w:rsidR="008643D6">
        <w:t xml:space="preserve"> A1037, </w:t>
      </w:r>
      <w:r w:rsidR="0029152E">
        <w:t>A1038</w:t>
      </w:r>
      <w:r w:rsidR="00392D31">
        <w:t xml:space="preserve">, </w:t>
      </w:r>
      <w:r w:rsidR="008643D6">
        <w:t>A1108, A1132, A1157</w:t>
      </w:r>
      <w:r w:rsidR="0029152E">
        <w:t xml:space="preserve"> (FSANZ 2008, 2011</w:t>
      </w:r>
      <w:r w:rsidR="008643D6">
        <w:t>, 2015, 2017, 2018</w:t>
      </w:r>
      <w:r w:rsidR="0029152E">
        <w:t xml:space="preserve">) the technological purpose of </w:t>
      </w:r>
      <w:r>
        <w:t>steviol glycosides</w:t>
      </w:r>
      <w:r w:rsidR="008643D6">
        <w:t xml:space="preserve"> </w:t>
      </w:r>
      <w:r w:rsidR="0029152E">
        <w:t xml:space="preserve">as an intense sweetener in a range of foods </w:t>
      </w:r>
      <w:r w:rsidR="000A7AF5">
        <w:t>was</w:t>
      </w:r>
      <w:r w:rsidR="0029152E">
        <w:t xml:space="preserve"> concluded to be appropriate. </w:t>
      </w:r>
    </w:p>
    <w:p w14:paraId="79E4ACF9" w14:textId="77777777" w:rsidR="0029152E" w:rsidRDefault="0029152E" w:rsidP="003A3B63"/>
    <w:p w14:paraId="20FD4BA2" w14:textId="499352AB" w:rsidR="00E51006" w:rsidRDefault="00E51006" w:rsidP="003A3B63">
      <w:r>
        <w:t>In summary</w:t>
      </w:r>
      <w:r w:rsidR="002217E5">
        <w:t>,</w:t>
      </w:r>
      <w:r>
        <w:t xml:space="preserve"> steviol glycosides</w:t>
      </w:r>
      <w:r w:rsidR="00427941">
        <w:t>:</w:t>
      </w:r>
    </w:p>
    <w:p w14:paraId="7337B648" w14:textId="77777777" w:rsidR="007A0D4E" w:rsidRDefault="007A0D4E" w:rsidP="007A0D4E">
      <w:pPr>
        <w:pStyle w:val="ListParagraph"/>
        <w:numPr>
          <w:ilvl w:val="0"/>
          <w:numId w:val="13"/>
        </w:numPr>
      </w:pPr>
      <w:r>
        <w:t>can be used in new product development and/or reformulation to produce reduced calorie, reduced sugar/added sugar foods including beverages</w:t>
      </w:r>
    </w:p>
    <w:p w14:paraId="541A5382" w14:textId="3F57D9D6" w:rsidR="00E51006" w:rsidRDefault="0070570C" w:rsidP="007A0D4E">
      <w:pPr>
        <w:pStyle w:val="ListParagraph"/>
        <w:numPr>
          <w:ilvl w:val="0"/>
          <w:numId w:val="13"/>
        </w:numPr>
      </w:pPr>
      <w:r>
        <w:t>are 200 to 300 times sweeter than sucrose and have been used for a number of years as a non-caloric intense sweetener in a range of foods</w:t>
      </w:r>
    </w:p>
    <w:p w14:paraId="2FF4C48D" w14:textId="678F56B8" w:rsidR="00E51006" w:rsidRDefault="00E51006" w:rsidP="00E51006">
      <w:pPr>
        <w:pStyle w:val="ListParagraph"/>
        <w:numPr>
          <w:ilvl w:val="0"/>
          <w:numId w:val="13"/>
        </w:numPr>
      </w:pPr>
      <w:r>
        <w:t>includ</w:t>
      </w:r>
      <w:r w:rsidR="00427941">
        <w:t>e</w:t>
      </w:r>
      <w:r>
        <w:t xml:space="preserve"> </w:t>
      </w:r>
      <w:r w:rsidR="00815631">
        <w:t xml:space="preserve">components of steviol glycosides </w:t>
      </w:r>
      <w:r w:rsidR="00427941">
        <w:t xml:space="preserve">which </w:t>
      </w:r>
      <w:r w:rsidR="00815631">
        <w:t>can be used alone or in conjunction with other intense sweeteners or sugar to provide sweetness in food</w:t>
      </w:r>
    </w:p>
    <w:p w14:paraId="40927969" w14:textId="4AE7F47F" w:rsidR="00906B3D" w:rsidRPr="00505F49" w:rsidRDefault="00906B3D" w:rsidP="00E51006">
      <w:pPr>
        <w:pStyle w:val="ListParagraph"/>
        <w:numPr>
          <w:ilvl w:val="0"/>
          <w:numId w:val="13"/>
        </w:numPr>
      </w:pPr>
      <w:r>
        <w:t xml:space="preserve">are heat and acid stable </w:t>
      </w:r>
    </w:p>
    <w:p w14:paraId="0E65DB60" w14:textId="45D44803" w:rsidR="00443880" w:rsidRDefault="00443880" w:rsidP="00817A18">
      <w:pPr>
        <w:pStyle w:val="Heading2"/>
      </w:pPr>
      <w:bookmarkStart w:id="40" w:name="_Toc523830655"/>
      <w:bookmarkStart w:id="41" w:name="_Toc526337820"/>
      <w:bookmarkStart w:id="42" w:name="_Toc526343079"/>
      <w:r>
        <w:lastRenderedPageBreak/>
        <w:t>Technological justification</w:t>
      </w:r>
      <w:bookmarkEnd w:id="38"/>
      <w:bookmarkEnd w:id="39"/>
      <w:bookmarkEnd w:id="40"/>
      <w:bookmarkEnd w:id="41"/>
      <w:bookmarkEnd w:id="42"/>
    </w:p>
    <w:p w14:paraId="1C59C5D6" w14:textId="79A46008" w:rsidR="00FC0CD1" w:rsidRDefault="00FC0CD1" w:rsidP="00FC0CD1">
      <w:pPr>
        <w:rPr>
          <w:lang w:bidi="ar-SA"/>
        </w:rPr>
      </w:pPr>
      <w:r>
        <w:rPr>
          <w:lang w:bidi="ar-SA"/>
        </w:rPr>
        <w:t xml:space="preserve">Steviol glycosides are already permitted for addition to food in a range of food classes; including fruit juice </w:t>
      </w:r>
      <w:r w:rsidR="002217E5">
        <w:rPr>
          <w:lang w:bidi="ar-SA"/>
        </w:rPr>
        <w:t xml:space="preserve">at </w:t>
      </w:r>
      <w:r w:rsidR="000D08CC">
        <w:rPr>
          <w:lang w:bidi="ar-SA"/>
        </w:rPr>
        <w:t>50 mg</w:t>
      </w:r>
      <w:r>
        <w:rPr>
          <w:lang w:bidi="ar-SA"/>
        </w:rPr>
        <w:t>/kg, low joule fruit and vege</w:t>
      </w:r>
      <w:r w:rsidR="00354A8D">
        <w:rPr>
          <w:lang w:bidi="ar-SA"/>
        </w:rPr>
        <w:t xml:space="preserve">table juice </w:t>
      </w:r>
      <w:r w:rsidR="002217E5">
        <w:rPr>
          <w:lang w:bidi="ar-SA"/>
        </w:rPr>
        <w:t xml:space="preserve">at </w:t>
      </w:r>
      <w:r w:rsidR="00354A8D">
        <w:rPr>
          <w:lang w:bidi="ar-SA"/>
        </w:rPr>
        <w:t>125 mg/kg and water-</w:t>
      </w:r>
      <w:r>
        <w:rPr>
          <w:lang w:bidi="ar-SA"/>
        </w:rPr>
        <w:t xml:space="preserve">based flavoured beverages </w:t>
      </w:r>
      <w:r w:rsidR="002217E5">
        <w:rPr>
          <w:lang w:bidi="ar-SA"/>
        </w:rPr>
        <w:t xml:space="preserve">at </w:t>
      </w:r>
      <w:r>
        <w:rPr>
          <w:lang w:bidi="ar-SA"/>
        </w:rPr>
        <w:t xml:space="preserve">200 mg/kg. </w:t>
      </w:r>
      <w:r>
        <w:t xml:space="preserve">Although low joule fruit and vegetable juice products can contain steviol glycosides they are less palatable because of the low level of juice </w:t>
      </w:r>
      <w:r w:rsidR="002217E5">
        <w:t xml:space="preserve">used </w:t>
      </w:r>
      <w:r>
        <w:t>to formulate these products. The</w:t>
      </w:r>
      <w:r w:rsidR="001C6DB2">
        <w:t xml:space="preserve"> applicant considers that these</w:t>
      </w:r>
      <w:r>
        <w:t xml:space="preserve"> drinks are not popular with consumers.</w:t>
      </w:r>
    </w:p>
    <w:p w14:paraId="09EA70C3" w14:textId="77777777" w:rsidR="00FC0CD1" w:rsidRDefault="00FC0CD1" w:rsidP="00FC0CD1">
      <w:r>
        <w:t xml:space="preserve"> </w:t>
      </w:r>
    </w:p>
    <w:p w14:paraId="234671D1" w14:textId="6F845194" w:rsidR="00E140CE" w:rsidRDefault="001C61E1" w:rsidP="00CB6CBC">
      <w:r>
        <w:t xml:space="preserve">In </w:t>
      </w:r>
      <w:r w:rsidRPr="00680B06">
        <w:rPr>
          <w:lang w:bidi="ar-SA"/>
        </w:rPr>
        <w:t xml:space="preserve">FSANZ’s assessment of </w:t>
      </w:r>
      <w:r w:rsidR="000A7AF5">
        <w:rPr>
          <w:lang w:bidi="ar-SA"/>
        </w:rPr>
        <w:t>a</w:t>
      </w:r>
      <w:r>
        <w:rPr>
          <w:lang w:bidi="ar-SA"/>
        </w:rPr>
        <w:t xml:space="preserve">pplication </w:t>
      </w:r>
      <w:r w:rsidRPr="00680B06">
        <w:rPr>
          <w:lang w:bidi="ar-SA"/>
        </w:rPr>
        <w:t xml:space="preserve">A1037 </w:t>
      </w:r>
      <w:r>
        <w:rPr>
          <w:lang w:bidi="ar-SA"/>
        </w:rPr>
        <w:t xml:space="preserve">(FSANZ </w:t>
      </w:r>
      <w:r w:rsidRPr="00680B06">
        <w:rPr>
          <w:lang w:bidi="ar-SA"/>
        </w:rPr>
        <w:t>2011</w:t>
      </w:r>
      <w:r>
        <w:rPr>
          <w:lang w:bidi="ar-SA"/>
        </w:rPr>
        <w:t xml:space="preserve">) consumer preference studies confirmed that acceptable sweetness </w:t>
      </w:r>
      <w:r w:rsidR="00D5658D">
        <w:rPr>
          <w:lang w:bidi="ar-SA"/>
        </w:rPr>
        <w:t xml:space="preserve">levels for consumers </w:t>
      </w:r>
      <w:r>
        <w:rPr>
          <w:lang w:bidi="ar-SA"/>
        </w:rPr>
        <w:t xml:space="preserve">in cola and fruit flavoured drinks using steviol glycosides required a 10% sucrose equivalent, </w:t>
      </w:r>
      <w:r w:rsidR="002217E5">
        <w:rPr>
          <w:lang w:bidi="ar-SA"/>
        </w:rPr>
        <w:t xml:space="preserve">equating to </w:t>
      </w:r>
      <w:r>
        <w:rPr>
          <w:lang w:bidi="ar-SA"/>
        </w:rPr>
        <w:t>approximately 200</w:t>
      </w:r>
      <w:r w:rsidR="00861C86">
        <w:rPr>
          <w:lang w:bidi="ar-SA"/>
        </w:rPr>
        <w:t xml:space="preserve"> </w:t>
      </w:r>
      <w:r>
        <w:rPr>
          <w:lang w:bidi="ar-SA"/>
        </w:rPr>
        <w:t>mg/kg steviol equivalents. Above this level</w:t>
      </w:r>
      <w:r w:rsidR="002217E5">
        <w:rPr>
          <w:lang w:bidi="ar-SA"/>
        </w:rPr>
        <w:t>,</w:t>
      </w:r>
      <w:r>
        <w:rPr>
          <w:lang w:bidi="ar-SA"/>
        </w:rPr>
        <w:t xml:space="preserve"> </w:t>
      </w:r>
      <w:r w:rsidR="00D5658D">
        <w:rPr>
          <w:lang w:bidi="ar-SA"/>
        </w:rPr>
        <w:t xml:space="preserve">the bitterness intensity increased </w:t>
      </w:r>
      <w:r w:rsidR="006C1E1C">
        <w:rPr>
          <w:lang w:bidi="ar-SA"/>
        </w:rPr>
        <w:t xml:space="preserve">and </w:t>
      </w:r>
      <w:r>
        <w:rPr>
          <w:lang w:bidi="ar-SA"/>
        </w:rPr>
        <w:t xml:space="preserve">there </w:t>
      </w:r>
      <w:r w:rsidR="00D5658D">
        <w:rPr>
          <w:lang w:bidi="ar-SA"/>
        </w:rPr>
        <w:t xml:space="preserve">was </w:t>
      </w:r>
      <w:r>
        <w:rPr>
          <w:lang w:bidi="ar-SA"/>
        </w:rPr>
        <w:t xml:space="preserve">no significant increase in consumer </w:t>
      </w:r>
      <w:r w:rsidR="00CE3FA7">
        <w:rPr>
          <w:lang w:bidi="ar-SA"/>
        </w:rPr>
        <w:t>liking</w:t>
      </w:r>
      <w:r>
        <w:rPr>
          <w:lang w:bidi="ar-SA"/>
        </w:rPr>
        <w:t xml:space="preserve">. </w:t>
      </w:r>
    </w:p>
    <w:p w14:paraId="05A50A51" w14:textId="77777777" w:rsidR="00E140CE" w:rsidRDefault="00E140CE" w:rsidP="00CB6CBC"/>
    <w:p w14:paraId="7C883BA4" w14:textId="7E3D7F48" w:rsidR="00CB6CBC" w:rsidRDefault="00CB6CBC" w:rsidP="00CB6CBC">
      <w:r>
        <w:t xml:space="preserve">The applicant states that steviol glycosides at a maximum permitted level of 200 mg/kg </w:t>
      </w:r>
      <w:r w:rsidR="00946EFD">
        <w:t xml:space="preserve">steviol equivalents </w:t>
      </w:r>
      <w:r>
        <w:t xml:space="preserve">in fruit drinks will meet </w:t>
      </w:r>
      <w:r w:rsidR="00E140CE">
        <w:t xml:space="preserve">Australian and New Zealand </w:t>
      </w:r>
      <w:r>
        <w:t xml:space="preserve">consumer </w:t>
      </w:r>
      <w:r w:rsidR="00D5658D">
        <w:t xml:space="preserve">palatability </w:t>
      </w:r>
      <w:r w:rsidR="00E140CE">
        <w:t>preferences</w:t>
      </w:r>
      <w:r>
        <w:t xml:space="preserve">. </w:t>
      </w:r>
      <w:r w:rsidR="00D5658D">
        <w:t>This would provide</w:t>
      </w:r>
      <w:r w:rsidR="00E140CE">
        <w:t xml:space="preserve"> equivalent sweetness to </w:t>
      </w:r>
      <w:r w:rsidR="00D5658D">
        <w:t xml:space="preserve">the levels permitted in </w:t>
      </w:r>
      <w:r w:rsidR="00C30447">
        <w:t>water-</w:t>
      </w:r>
      <w:r w:rsidR="00E140CE">
        <w:t>based flavoured beverages and fruit juice.</w:t>
      </w:r>
    </w:p>
    <w:p w14:paraId="01505664" w14:textId="77777777" w:rsidR="00CB6CBC" w:rsidRDefault="00CB6CBC" w:rsidP="002B3341">
      <w:pPr>
        <w:rPr>
          <w:lang w:bidi="ar-SA"/>
        </w:rPr>
      </w:pPr>
    </w:p>
    <w:p w14:paraId="66EDB0AD" w14:textId="59EB1115" w:rsidR="002B3341" w:rsidRDefault="002B3341" w:rsidP="002B3341">
      <w:r>
        <w:t xml:space="preserve">The application </w:t>
      </w:r>
      <w:r w:rsidR="00D5658D">
        <w:t xml:space="preserve">also </w:t>
      </w:r>
      <w:r w:rsidR="005C2833">
        <w:t xml:space="preserve">confirms </w:t>
      </w:r>
      <w:r>
        <w:t>there is a consumer preference for steviol glycosides as plant-based</w:t>
      </w:r>
      <w:r w:rsidR="009974FF">
        <w:t xml:space="preserve"> intense sweet</w:t>
      </w:r>
      <w:r w:rsidR="00371A6D">
        <w:t>e</w:t>
      </w:r>
      <w:r w:rsidR="009974FF">
        <w:t>ners</w:t>
      </w:r>
      <w:r w:rsidR="005C2833">
        <w:t xml:space="preserve"> </w:t>
      </w:r>
      <w:r w:rsidR="00CB6CBC">
        <w:t xml:space="preserve">compared with </w:t>
      </w:r>
      <w:r>
        <w:t xml:space="preserve">other permitted intense sweeteners </w:t>
      </w:r>
      <w:r w:rsidR="00C30447">
        <w:t>used in</w:t>
      </w:r>
      <w:r>
        <w:t xml:space="preserve"> fruit drinks. e.g. aspartame, acesulphame potassium, alitame and aspartame-acesulphame salt.</w:t>
      </w:r>
    </w:p>
    <w:p w14:paraId="041D9340" w14:textId="77777777" w:rsidR="00906B3D" w:rsidRDefault="00906B3D" w:rsidP="002B3341"/>
    <w:p w14:paraId="3B85A0BF" w14:textId="176E00BE" w:rsidR="00026963" w:rsidRPr="002B3341" w:rsidRDefault="00354A8D" w:rsidP="002B3341">
      <w:pPr>
        <w:rPr>
          <w:lang w:bidi="ar-SA"/>
        </w:rPr>
      </w:pPr>
      <w:r>
        <w:t>Water-</w:t>
      </w:r>
      <w:r w:rsidR="002B3341">
        <w:t xml:space="preserve">based beverages containing 200 mg/kg steviol glycosides and higher levels of sugar are popular with consumers in international markets. Steviol glycosides in these products allow for 30-50% </w:t>
      </w:r>
      <w:r w:rsidR="005D0629">
        <w:t xml:space="preserve">reduction in </w:t>
      </w:r>
      <w:r w:rsidR="002B3341">
        <w:t xml:space="preserve">sugar. There are some </w:t>
      </w:r>
      <w:r w:rsidR="00C1253E">
        <w:t xml:space="preserve"> low joule fruit and vegetable juices and water-based</w:t>
      </w:r>
      <w:r w:rsidR="002B3341">
        <w:t xml:space="preserve"> </w:t>
      </w:r>
      <w:r w:rsidR="00C1253E">
        <w:t xml:space="preserve">beverages </w:t>
      </w:r>
      <w:r w:rsidR="002B3341">
        <w:t xml:space="preserve">available in New Zealand and Australian markets </w:t>
      </w:r>
      <w:r w:rsidR="00AE7074">
        <w:t xml:space="preserve">that have a </w:t>
      </w:r>
      <w:r w:rsidR="002B3341">
        <w:t xml:space="preserve">50% </w:t>
      </w:r>
      <w:r w:rsidR="00AE7074">
        <w:t xml:space="preserve">reduction in </w:t>
      </w:r>
      <w:r w:rsidR="002B3341">
        <w:t xml:space="preserve">sugar </w:t>
      </w:r>
      <w:r w:rsidR="00AE7074">
        <w:t xml:space="preserve">due to the use of </w:t>
      </w:r>
      <w:r w:rsidR="002B3341">
        <w:t xml:space="preserve">steviol glycosides. </w:t>
      </w:r>
      <w:r w:rsidR="000D08CC">
        <w:t>T</w:t>
      </w:r>
      <w:r w:rsidR="002B3341">
        <w:t xml:space="preserve">hese are currently described </w:t>
      </w:r>
      <w:r w:rsidR="00C1253E">
        <w:t xml:space="preserve">and named </w:t>
      </w:r>
      <w:r w:rsidR="002B3341">
        <w:t xml:space="preserve">as </w:t>
      </w:r>
      <w:r w:rsidR="002834F2">
        <w:t xml:space="preserve">food classes that </w:t>
      </w:r>
      <w:r w:rsidR="00C1253E">
        <w:t xml:space="preserve">already </w:t>
      </w:r>
      <w:r w:rsidR="002834F2">
        <w:t>permit steviol gly</w:t>
      </w:r>
      <w:r w:rsidR="009974FF">
        <w:t>cosides</w:t>
      </w:r>
      <w:r w:rsidR="00CE3FA7">
        <w:t>, but are</w:t>
      </w:r>
      <w:r w:rsidR="00C1253E">
        <w:t xml:space="preserve"> </w:t>
      </w:r>
      <w:r w:rsidR="002B3341">
        <w:t xml:space="preserve">more correctly described as ‘fruit drinks.’ </w:t>
      </w:r>
      <w:bookmarkStart w:id="43" w:name="_Toc522718984"/>
      <w:bookmarkStart w:id="44" w:name="_Toc522712022"/>
    </w:p>
    <w:p w14:paraId="681300BA" w14:textId="273318FC" w:rsidR="00443880" w:rsidRDefault="00443880" w:rsidP="00817A18">
      <w:pPr>
        <w:pStyle w:val="Heading2"/>
      </w:pPr>
      <w:bookmarkStart w:id="45" w:name="_Toc523830656"/>
      <w:bookmarkStart w:id="46" w:name="_Toc526337821"/>
      <w:bookmarkStart w:id="47" w:name="_Toc526343080"/>
      <w:r>
        <w:t>The manufacturing process</w:t>
      </w:r>
      <w:bookmarkEnd w:id="43"/>
      <w:bookmarkEnd w:id="44"/>
      <w:bookmarkEnd w:id="45"/>
      <w:bookmarkEnd w:id="46"/>
      <w:bookmarkEnd w:id="47"/>
    </w:p>
    <w:p w14:paraId="7CC7E475" w14:textId="40EB82C7" w:rsidR="00C2293F" w:rsidRDefault="00C2293F" w:rsidP="00C2293F">
      <w:pPr>
        <w:rPr>
          <w:lang w:bidi="ar-SA"/>
        </w:rPr>
      </w:pPr>
      <w:r>
        <w:rPr>
          <w:lang w:bidi="ar-SA"/>
        </w:rPr>
        <w:t xml:space="preserve">The production of steviol glycosides </w:t>
      </w:r>
      <w:r w:rsidR="00A93390">
        <w:rPr>
          <w:lang w:bidi="ar-SA"/>
        </w:rPr>
        <w:t xml:space="preserve">from the leaves of the </w:t>
      </w:r>
      <w:r w:rsidR="00A93390" w:rsidRPr="00502138">
        <w:rPr>
          <w:i/>
          <w:lang w:bidi="ar-SA"/>
        </w:rPr>
        <w:t>Stevia rebaudiana</w:t>
      </w:r>
      <w:r w:rsidR="00A93390">
        <w:rPr>
          <w:lang w:bidi="ar-SA"/>
        </w:rPr>
        <w:t xml:space="preserve"> plant generally follows the same basic steps with some variation at the later stages of purification and separation. This was </w:t>
      </w:r>
      <w:r w:rsidR="00AC333E">
        <w:rPr>
          <w:lang w:bidi="ar-SA"/>
        </w:rPr>
        <w:t>included in application A540 and A1037 (FSANZ 2008, 2011 and more recently by JECFA (</w:t>
      </w:r>
      <w:r w:rsidR="00EF6092">
        <w:rPr>
          <w:lang w:bidi="ar-SA"/>
        </w:rPr>
        <w:t>FAO 2016</w:t>
      </w:r>
      <w:r w:rsidR="00AC333E">
        <w:rPr>
          <w:lang w:bidi="ar-SA"/>
        </w:rPr>
        <w:t xml:space="preserve">). </w:t>
      </w:r>
    </w:p>
    <w:p w14:paraId="1B945045" w14:textId="77777777" w:rsidR="00C2293F" w:rsidRDefault="00C2293F" w:rsidP="00C2293F">
      <w:pPr>
        <w:rPr>
          <w:lang w:bidi="ar-SA"/>
        </w:rPr>
      </w:pPr>
    </w:p>
    <w:p w14:paraId="527D28B4" w14:textId="7CE193F4" w:rsidR="002069F3" w:rsidRDefault="00114F8C" w:rsidP="00C2293F">
      <w:pPr>
        <w:rPr>
          <w:lang w:bidi="ar-SA"/>
        </w:rPr>
      </w:pPr>
      <w:r>
        <w:rPr>
          <w:lang w:bidi="ar-SA"/>
        </w:rPr>
        <w:t xml:space="preserve">The </w:t>
      </w:r>
      <w:r w:rsidR="00F26BD1">
        <w:rPr>
          <w:lang w:bidi="ar-SA"/>
        </w:rPr>
        <w:t xml:space="preserve">conventional </w:t>
      </w:r>
      <w:r>
        <w:rPr>
          <w:lang w:bidi="ar-SA"/>
        </w:rPr>
        <w:t xml:space="preserve">extraction method </w:t>
      </w:r>
      <w:r w:rsidR="00AE7074">
        <w:rPr>
          <w:lang w:bidi="ar-SA"/>
        </w:rPr>
        <w:t>involves the</w:t>
      </w:r>
      <w:r>
        <w:rPr>
          <w:lang w:bidi="ar-SA"/>
        </w:rPr>
        <w:t xml:space="preserve"> c</w:t>
      </w:r>
      <w:r w:rsidR="00C2293F">
        <w:rPr>
          <w:lang w:bidi="ar-SA"/>
        </w:rPr>
        <w:t>rush</w:t>
      </w:r>
      <w:r w:rsidR="00AE7074">
        <w:rPr>
          <w:lang w:bidi="ar-SA"/>
        </w:rPr>
        <w:t>ing of</w:t>
      </w:r>
      <w:r w:rsidR="00C2293F">
        <w:rPr>
          <w:lang w:bidi="ar-SA"/>
        </w:rPr>
        <w:t xml:space="preserve"> stevia leaves </w:t>
      </w:r>
      <w:r w:rsidR="00AE7074">
        <w:rPr>
          <w:lang w:bidi="ar-SA"/>
        </w:rPr>
        <w:t>and extraction with</w:t>
      </w:r>
      <w:r w:rsidR="00C2293F">
        <w:rPr>
          <w:lang w:bidi="ar-SA"/>
        </w:rPr>
        <w:t xml:space="preserve"> hot water. The extract is purified using ion-exchange chromatography along with other purification steps including filtration and crystallisation. </w:t>
      </w:r>
    </w:p>
    <w:p w14:paraId="0E65693C" w14:textId="43167585" w:rsidR="00AC333E" w:rsidRDefault="00AC333E" w:rsidP="00C2293F">
      <w:pPr>
        <w:rPr>
          <w:lang w:bidi="ar-SA"/>
        </w:rPr>
      </w:pPr>
    </w:p>
    <w:p w14:paraId="47E9C0A9" w14:textId="50D63A72" w:rsidR="00BB02E9" w:rsidRPr="009C6735" w:rsidRDefault="00AC333E" w:rsidP="009C6735">
      <w:pPr>
        <w:rPr>
          <w:lang w:bidi="ar-SA"/>
        </w:rPr>
      </w:pPr>
      <w:r>
        <w:rPr>
          <w:lang w:bidi="ar-SA"/>
        </w:rPr>
        <w:t xml:space="preserve">The </w:t>
      </w:r>
      <w:r w:rsidR="00F5737C">
        <w:rPr>
          <w:lang w:bidi="ar-SA"/>
        </w:rPr>
        <w:t>2016</w:t>
      </w:r>
      <w:r>
        <w:rPr>
          <w:lang w:bidi="ar-SA"/>
        </w:rPr>
        <w:t xml:space="preserve"> JECFA assessment mentions extraction of </w:t>
      </w:r>
      <w:r w:rsidR="005C2833">
        <w:rPr>
          <w:lang w:bidi="ar-SA"/>
        </w:rPr>
        <w:t>R</w:t>
      </w:r>
      <w:r>
        <w:rPr>
          <w:lang w:bidi="ar-SA"/>
        </w:rPr>
        <w:t xml:space="preserve">ebaudiosidase A </w:t>
      </w:r>
      <w:r w:rsidR="006E54EF">
        <w:rPr>
          <w:lang w:bidi="ar-SA"/>
        </w:rPr>
        <w:t xml:space="preserve">(95% Reb A) </w:t>
      </w:r>
      <w:r>
        <w:rPr>
          <w:lang w:bidi="ar-SA"/>
        </w:rPr>
        <w:t xml:space="preserve">from fermentation of a non-toxic and </w:t>
      </w:r>
      <w:r w:rsidR="006E54EF">
        <w:rPr>
          <w:lang w:bidi="ar-SA"/>
        </w:rPr>
        <w:t>non-</w:t>
      </w:r>
      <w:r>
        <w:rPr>
          <w:lang w:bidi="ar-SA"/>
        </w:rPr>
        <w:t>pathogenic GM source (</w:t>
      </w:r>
      <w:r w:rsidR="00EF6092">
        <w:rPr>
          <w:lang w:bidi="ar-SA"/>
        </w:rPr>
        <w:t xml:space="preserve">FAO </w:t>
      </w:r>
      <w:r>
        <w:rPr>
          <w:lang w:bidi="ar-SA"/>
        </w:rPr>
        <w:t xml:space="preserve">2016). </w:t>
      </w:r>
      <w:r w:rsidR="00F26BD1">
        <w:rPr>
          <w:lang w:bidi="ar-SA"/>
        </w:rPr>
        <w:t>The use of</w:t>
      </w:r>
      <w:r w:rsidR="002069F3">
        <w:rPr>
          <w:lang w:bidi="ar-SA"/>
        </w:rPr>
        <w:t xml:space="preserve"> enzymatic </w:t>
      </w:r>
      <w:r w:rsidR="00114F8C">
        <w:rPr>
          <w:lang w:bidi="ar-SA"/>
        </w:rPr>
        <w:t xml:space="preserve">extraction </w:t>
      </w:r>
      <w:r>
        <w:rPr>
          <w:lang w:bidi="ar-SA"/>
        </w:rPr>
        <w:t xml:space="preserve">can be used to </w:t>
      </w:r>
      <w:r w:rsidR="00F26BD1">
        <w:rPr>
          <w:lang w:bidi="ar-SA"/>
        </w:rPr>
        <w:t>concentrate specific steviol glycoside</w:t>
      </w:r>
      <w:r>
        <w:rPr>
          <w:lang w:bidi="ar-SA"/>
        </w:rPr>
        <w:t>s</w:t>
      </w:r>
      <w:r w:rsidR="00F26BD1">
        <w:rPr>
          <w:lang w:bidi="ar-SA"/>
        </w:rPr>
        <w:t xml:space="preserve"> </w:t>
      </w:r>
      <w:r>
        <w:rPr>
          <w:lang w:bidi="ar-SA"/>
        </w:rPr>
        <w:t xml:space="preserve">and </w:t>
      </w:r>
      <w:r w:rsidR="00114F8C">
        <w:rPr>
          <w:lang w:bidi="ar-SA"/>
        </w:rPr>
        <w:t xml:space="preserve">may </w:t>
      </w:r>
      <w:r>
        <w:rPr>
          <w:lang w:bidi="ar-SA"/>
        </w:rPr>
        <w:t xml:space="preserve">also </w:t>
      </w:r>
      <w:r w:rsidR="00114F8C">
        <w:rPr>
          <w:lang w:bidi="ar-SA"/>
        </w:rPr>
        <w:t xml:space="preserve">be more efficient </w:t>
      </w:r>
      <w:r w:rsidR="00F26BD1">
        <w:rPr>
          <w:lang w:bidi="ar-SA"/>
        </w:rPr>
        <w:t xml:space="preserve">than conventional methods </w:t>
      </w:r>
      <w:r w:rsidR="00114F8C">
        <w:rPr>
          <w:lang w:bidi="ar-SA"/>
        </w:rPr>
        <w:t xml:space="preserve">in terms of yields (Gonzalez et al, 2014). </w:t>
      </w:r>
    </w:p>
    <w:p w14:paraId="2CA78F9F" w14:textId="561B4E94" w:rsidR="00106E9F" w:rsidRDefault="00443880" w:rsidP="00817A18">
      <w:pPr>
        <w:pStyle w:val="Heading2"/>
      </w:pPr>
      <w:bookmarkStart w:id="48" w:name="_Toc522718985"/>
      <w:bookmarkStart w:id="49" w:name="_Toc522712023"/>
      <w:bookmarkStart w:id="50" w:name="_Toc523830657"/>
      <w:bookmarkStart w:id="51" w:name="_Toc526337822"/>
      <w:bookmarkStart w:id="52" w:name="_Toc526343081"/>
      <w:r>
        <w:t>Product specification</w:t>
      </w:r>
      <w:bookmarkEnd w:id="48"/>
      <w:bookmarkEnd w:id="49"/>
      <w:r w:rsidR="00194EFD">
        <w:t>s</w:t>
      </w:r>
      <w:bookmarkEnd w:id="50"/>
      <w:bookmarkEnd w:id="51"/>
      <w:bookmarkEnd w:id="52"/>
    </w:p>
    <w:p w14:paraId="3F63CA5D" w14:textId="2A10CCE7" w:rsidR="00B2643C" w:rsidRDefault="006520BC" w:rsidP="00454FFD">
      <w:pPr>
        <w:rPr>
          <w:lang w:bidi="ar-SA"/>
        </w:rPr>
      </w:pPr>
      <w:r>
        <w:rPr>
          <w:lang w:bidi="ar-SA"/>
        </w:rPr>
        <w:t>There are international specifications for steviol glycosides</w:t>
      </w:r>
      <w:r w:rsidR="00F5737C">
        <w:rPr>
          <w:lang w:bidi="ar-SA"/>
        </w:rPr>
        <w:t xml:space="preserve"> </w:t>
      </w:r>
      <w:r>
        <w:rPr>
          <w:lang w:bidi="ar-SA"/>
        </w:rPr>
        <w:t xml:space="preserve">established in the </w:t>
      </w:r>
      <w:r w:rsidR="00B2643C">
        <w:rPr>
          <w:lang w:bidi="ar-SA"/>
        </w:rPr>
        <w:t>Combined Compendium of Food Additive Specifications</w:t>
      </w:r>
      <w:r w:rsidR="00670C0A">
        <w:rPr>
          <w:lang w:bidi="ar-SA"/>
        </w:rPr>
        <w:t xml:space="preserve"> (</w:t>
      </w:r>
      <w:r w:rsidR="00AE5426">
        <w:rPr>
          <w:lang w:bidi="ar-SA"/>
        </w:rPr>
        <w:t>JECFA</w:t>
      </w:r>
      <w:r w:rsidR="00670C0A">
        <w:rPr>
          <w:lang w:bidi="ar-SA"/>
        </w:rPr>
        <w:t xml:space="preserve"> 2017</w:t>
      </w:r>
      <w:r w:rsidR="00F61C6E">
        <w:rPr>
          <w:lang w:bidi="ar-SA"/>
        </w:rPr>
        <w:t>b</w:t>
      </w:r>
      <w:r w:rsidR="00670C0A">
        <w:rPr>
          <w:lang w:bidi="ar-SA"/>
        </w:rPr>
        <w:t>)</w:t>
      </w:r>
      <w:r>
        <w:rPr>
          <w:lang w:bidi="ar-SA"/>
        </w:rPr>
        <w:t xml:space="preserve">. </w:t>
      </w:r>
      <w:r w:rsidR="00FE48A2">
        <w:rPr>
          <w:lang w:bidi="ar-SA"/>
        </w:rPr>
        <w:t xml:space="preserve">These </w:t>
      </w:r>
      <w:r w:rsidR="00AE7074">
        <w:rPr>
          <w:lang w:bidi="ar-SA"/>
        </w:rPr>
        <w:t>state that the</w:t>
      </w:r>
      <w:r w:rsidR="00FE48A2">
        <w:rPr>
          <w:lang w:bidi="ar-SA"/>
        </w:rPr>
        <w:t xml:space="preserve"> </w:t>
      </w:r>
      <w:r w:rsidR="00B37CDB">
        <w:rPr>
          <w:lang w:bidi="ar-SA"/>
        </w:rPr>
        <w:t xml:space="preserve">composition of the preparation must consist of at </w:t>
      </w:r>
      <w:r w:rsidR="00FE48A2">
        <w:rPr>
          <w:lang w:bidi="ar-SA"/>
        </w:rPr>
        <w:t>least 95% steviol glycosides.</w:t>
      </w:r>
      <w:r w:rsidR="005C2833">
        <w:rPr>
          <w:lang w:bidi="ar-SA"/>
        </w:rPr>
        <w:t xml:space="preserve"> </w:t>
      </w:r>
      <w:r>
        <w:rPr>
          <w:lang w:bidi="ar-SA"/>
        </w:rPr>
        <w:t xml:space="preserve">These </w:t>
      </w:r>
      <w:r w:rsidR="00AE7074">
        <w:rPr>
          <w:lang w:bidi="ar-SA"/>
        </w:rPr>
        <w:t xml:space="preserve">specifications </w:t>
      </w:r>
      <w:r>
        <w:rPr>
          <w:lang w:bidi="ar-SA"/>
        </w:rPr>
        <w:t>are</w:t>
      </w:r>
      <w:r w:rsidR="00B2643C">
        <w:rPr>
          <w:lang w:bidi="ar-SA"/>
        </w:rPr>
        <w:t xml:space="preserve"> a</w:t>
      </w:r>
      <w:r w:rsidR="00570D92">
        <w:rPr>
          <w:lang w:bidi="ar-SA"/>
        </w:rPr>
        <w:t>n accepted</w:t>
      </w:r>
      <w:r w:rsidR="00B2643C">
        <w:rPr>
          <w:lang w:bidi="ar-SA"/>
        </w:rPr>
        <w:t xml:space="preserve"> primary source of specifications in section S3-2</w:t>
      </w:r>
      <w:r w:rsidR="00830779">
        <w:rPr>
          <w:lang w:bidi="ar-SA"/>
        </w:rPr>
        <w:t>(</w:t>
      </w:r>
      <w:r w:rsidR="00B2643C">
        <w:rPr>
          <w:lang w:bidi="ar-SA"/>
        </w:rPr>
        <w:t>1</w:t>
      </w:r>
      <w:r w:rsidR="00830779">
        <w:rPr>
          <w:lang w:bidi="ar-SA"/>
        </w:rPr>
        <w:t>)(b)</w:t>
      </w:r>
      <w:r w:rsidR="00B2643C">
        <w:rPr>
          <w:lang w:bidi="ar-SA"/>
        </w:rPr>
        <w:t xml:space="preserve"> of the </w:t>
      </w:r>
      <w:r w:rsidR="00B2643C">
        <w:rPr>
          <w:lang w:bidi="ar-SA"/>
        </w:rPr>
        <w:lastRenderedPageBreak/>
        <w:t xml:space="preserve">Code. </w:t>
      </w:r>
    </w:p>
    <w:p w14:paraId="4A6292D4" w14:textId="65087FCB" w:rsidR="006520BC" w:rsidRDefault="006520BC" w:rsidP="00454FFD">
      <w:pPr>
        <w:rPr>
          <w:lang w:bidi="ar-SA"/>
        </w:rPr>
      </w:pPr>
    </w:p>
    <w:p w14:paraId="121B6B36" w14:textId="4F2ABB4F" w:rsidR="00DA6F1B" w:rsidRDefault="00DA6F1B" w:rsidP="00DA6F1B">
      <w:pPr>
        <w:rPr>
          <w:lang w:bidi="ar-SA"/>
        </w:rPr>
      </w:pPr>
      <w:r>
        <w:rPr>
          <w:lang w:bidi="ar-SA"/>
        </w:rPr>
        <w:t xml:space="preserve">The Code itself contains specifications in section S3-2(1)(a) for steviol glycosides. These specifications include aspects of steviol glycosides not previously included in JECFA specifications. </w:t>
      </w:r>
    </w:p>
    <w:p w14:paraId="2155A3F7" w14:textId="3BB370EA" w:rsidR="00FE48A2" w:rsidRDefault="00FE48A2" w:rsidP="00DA6F1B">
      <w:pPr>
        <w:rPr>
          <w:lang w:bidi="ar-SA"/>
        </w:rPr>
      </w:pPr>
    </w:p>
    <w:p w14:paraId="6DFF8C75" w14:textId="48D008F2" w:rsidR="00FE48A2" w:rsidRDefault="008C5D29" w:rsidP="00DA6F1B">
      <w:pPr>
        <w:rPr>
          <w:lang w:bidi="ar-SA"/>
        </w:rPr>
      </w:pPr>
      <w:r>
        <w:rPr>
          <w:lang w:bidi="ar-SA"/>
        </w:rPr>
        <w:t>Steviol glycosides have been assigned the food additive number INS 960.</w:t>
      </w:r>
    </w:p>
    <w:p w14:paraId="3A49A26E" w14:textId="544E0B47" w:rsidR="0050566E" w:rsidRDefault="00AB5D35" w:rsidP="00EA1803">
      <w:pPr>
        <w:pStyle w:val="Heading3"/>
      </w:pPr>
      <w:bookmarkStart w:id="53" w:name="_Toc523830658"/>
      <w:bookmarkStart w:id="54" w:name="_Toc526337823"/>
      <w:bookmarkStart w:id="55" w:name="_Toc526343082"/>
      <w:bookmarkStart w:id="56" w:name="_Toc522718986"/>
      <w:bookmarkStart w:id="57" w:name="_Toc522712024"/>
      <w:r>
        <w:t xml:space="preserve">2.7.1 </w:t>
      </w:r>
      <w:r w:rsidR="00082F85" w:rsidRPr="00EA1803">
        <w:t>Calculating</w:t>
      </w:r>
      <w:r w:rsidR="00082F85">
        <w:t xml:space="preserve"> steviol equivalent </w:t>
      </w:r>
      <w:r w:rsidR="008C262F">
        <w:t xml:space="preserve">or steviol </w:t>
      </w:r>
      <w:r w:rsidR="00082F85">
        <w:t>levels</w:t>
      </w:r>
      <w:bookmarkEnd w:id="53"/>
      <w:bookmarkEnd w:id="54"/>
      <w:bookmarkEnd w:id="55"/>
      <w:r w:rsidR="008C262F">
        <w:t xml:space="preserve"> </w:t>
      </w:r>
    </w:p>
    <w:p w14:paraId="621989C6" w14:textId="7009CEC5" w:rsidR="008C262F" w:rsidRDefault="00082F85" w:rsidP="00082F85">
      <w:pPr>
        <w:rPr>
          <w:lang w:eastAsia="en-AU" w:bidi="ar-SA"/>
        </w:rPr>
      </w:pPr>
      <w:r>
        <w:rPr>
          <w:lang w:eastAsia="en-AU" w:bidi="ar-SA"/>
        </w:rPr>
        <w:t xml:space="preserve">Since </w:t>
      </w:r>
      <w:r w:rsidR="00C1253E">
        <w:rPr>
          <w:lang w:eastAsia="en-AU" w:bidi="ar-SA"/>
        </w:rPr>
        <w:t>previous</w:t>
      </w:r>
      <w:r w:rsidR="000810AA">
        <w:rPr>
          <w:lang w:eastAsia="en-AU" w:bidi="ar-SA"/>
        </w:rPr>
        <w:t xml:space="preserve"> FSANZ </w:t>
      </w:r>
      <w:r>
        <w:rPr>
          <w:lang w:eastAsia="en-AU" w:bidi="ar-SA"/>
        </w:rPr>
        <w:t>hazard assessment</w:t>
      </w:r>
      <w:r w:rsidR="00FC03DB">
        <w:rPr>
          <w:lang w:eastAsia="en-AU" w:bidi="ar-SA"/>
        </w:rPr>
        <w:t>s</w:t>
      </w:r>
      <w:r>
        <w:rPr>
          <w:lang w:eastAsia="en-AU" w:bidi="ar-SA"/>
        </w:rPr>
        <w:t xml:space="preserve"> identified that all steviol glycosides are </w:t>
      </w:r>
      <w:r w:rsidR="00C4340E">
        <w:rPr>
          <w:lang w:eastAsia="en-AU" w:bidi="ar-SA"/>
        </w:rPr>
        <w:t xml:space="preserve">metabolised </w:t>
      </w:r>
      <w:r>
        <w:rPr>
          <w:lang w:eastAsia="en-AU" w:bidi="ar-SA"/>
        </w:rPr>
        <w:t xml:space="preserve">to steviol in animals and humans, the ADI is expressed in terms of steviol equivalents (JECFA uses the term ‘expressed as steviol’). This allows for variability in the individual glycosides in mixtures of steviol glycoside extracts. Therefore, conversion factors are needed to convert the different steviol glycosides to steviol. </w:t>
      </w:r>
    </w:p>
    <w:p w14:paraId="148BB138" w14:textId="77777777" w:rsidR="008C262F" w:rsidRDefault="008C262F" w:rsidP="00082F85">
      <w:pPr>
        <w:rPr>
          <w:lang w:eastAsia="en-AU" w:bidi="ar-SA"/>
        </w:rPr>
      </w:pPr>
    </w:p>
    <w:p w14:paraId="04FB1F57" w14:textId="5520030B" w:rsidR="008C262F" w:rsidRPr="00082F85" w:rsidRDefault="00082F85" w:rsidP="00082F85">
      <w:pPr>
        <w:rPr>
          <w:lang w:eastAsia="en-AU" w:bidi="ar-SA"/>
        </w:rPr>
      </w:pPr>
      <w:r>
        <w:rPr>
          <w:lang w:eastAsia="en-AU" w:bidi="ar-SA"/>
        </w:rPr>
        <w:t xml:space="preserve">The equation and conversion factor </w:t>
      </w:r>
      <w:r w:rsidR="008C262F">
        <w:rPr>
          <w:lang w:eastAsia="en-AU" w:bidi="ar-SA"/>
        </w:rPr>
        <w:t xml:space="preserve">is related to the ratio of molecular weights of the steviol to the steviol glycoside </w:t>
      </w:r>
      <w:r>
        <w:rPr>
          <w:lang w:eastAsia="en-AU" w:bidi="ar-SA"/>
        </w:rPr>
        <w:t xml:space="preserve">are included in section S1.3.1-4(7) of the Code. </w:t>
      </w:r>
    </w:p>
    <w:p w14:paraId="60159EE3" w14:textId="11F279B7" w:rsidR="00443880" w:rsidRDefault="00443880" w:rsidP="00817A18">
      <w:pPr>
        <w:pStyle w:val="Heading2"/>
      </w:pPr>
      <w:bookmarkStart w:id="58" w:name="_Toc523830659"/>
      <w:bookmarkStart w:id="59" w:name="_Toc526337824"/>
      <w:bookmarkStart w:id="60" w:name="_Toc526343083"/>
      <w:r>
        <w:t>Analytical method for detection</w:t>
      </w:r>
      <w:bookmarkEnd w:id="56"/>
      <w:bookmarkEnd w:id="57"/>
      <w:bookmarkEnd w:id="58"/>
      <w:bookmarkEnd w:id="59"/>
      <w:bookmarkEnd w:id="60"/>
    </w:p>
    <w:p w14:paraId="263FBE04" w14:textId="38E4C9D9" w:rsidR="00154A20" w:rsidRPr="00154A20" w:rsidRDefault="00E34F37" w:rsidP="00C2293F">
      <w:pPr>
        <w:rPr>
          <w:lang w:bidi="ar-SA"/>
        </w:rPr>
      </w:pPr>
      <w:r>
        <w:rPr>
          <w:lang w:bidi="ar-SA"/>
        </w:rPr>
        <w:t>A</w:t>
      </w:r>
      <w:r w:rsidR="00C2293F" w:rsidRPr="00680B06">
        <w:rPr>
          <w:lang w:bidi="ar-SA"/>
        </w:rPr>
        <w:t xml:space="preserve">nalytical methods </w:t>
      </w:r>
      <w:r>
        <w:rPr>
          <w:lang w:bidi="ar-SA"/>
        </w:rPr>
        <w:t xml:space="preserve">are </w:t>
      </w:r>
      <w:r w:rsidR="00C2293F" w:rsidRPr="00680B06">
        <w:rPr>
          <w:lang w:bidi="ar-SA"/>
        </w:rPr>
        <w:t>available for the detection and quantification of steviol glycosides in food since preparations of steviol glycosides have been commercialised and permitted as intense sweetener</w:t>
      </w:r>
      <w:r w:rsidR="00DA4C8F">
        <w:rPr>
          <w:lang w:bidi="ar-SA"/>
        </w:rPr>
        <w:t>s</w:t>
      </w:r>
      <w:r>
        <w:rPr>
          <w:lang w:bidi="ar-SA"/>
        </w:rPr>
        <w:t xml:space="preserve"> for several years</w:t>
      </w:r>
      <w:r w:rsidR="00C2293F" w:rsidRPr="00680B06">
        <w:rPr>
          <w:lang w:bidi="ar-SA"/>
        </w:rPr>
        <w:t xml:space="preserve">. These have been based on High Performance Liquid Chromatography (HPLC). Such analytical methods were mentioned in assessment of </w:t>
      </w:r>
      <w:r w:rsidR="00DA4C8F">
        <w:rPr>
          <w:lang w:bidi="ar-SA"/>
        </w:rPr>
        <w:t>a</w:t>
      </w:r>
      <w:r w:rsidR="00C2293F">
        <w:rPr>
          <w:lang w:bidi="ar-SA"/>
        </w:rPr>
        <w:t>pplication</w:t>
      </w:r>
      <w:r w:rsidR="00DA4C8F">
        <w:rPr>
          <w:lang w:bidi="ar-SA"/>
        </w:rPr>
        <w:t>s</w:t>
      </w:r>
      <w:r w:rsidR="00C2293F">
        <w:rPr>
          <w:lang w:bidi="ar-SA"/>
        </w:rPr>
        <w:t xml:space="preserve"> </w:t>
      </w:r>
      <w:r w:rsidR="00EB6109" w:rsidRPr="00680B06">
        <w:rPr>
          <w:lang w:bidi="ar-SA"/>
        </w:rPr>
        <w:t>A1</w:t>
      </w:r>
      <w:r w:rsidR="00EB6109">
        <w:rPr>
          <w:lang w:bidi="ar-SA"/>
        </w:rPr>
        <w:t>037</w:t>
      </w:r>
      <w:r w:rsidR="00DA4C8F">
        <w:rPr>
          <w:lang w:bidi="ar-SA"/>
        </w:rPr>
        <w:t xml:space="preserve">, </w:t>
      </w:r>
      <w:r w:rsidR="00EB6109">
        <w:rPr>
          <w:lang w:bidi="ar-SA"/>
        </w:rPr>
        <w:t>A1108, A1132</w:t>
      </w:r>
      <w:r w:rsidR="00C2293F" w:rsidRPr="00680B06">
        <w:rPr>
          <w:lang w:bidi="ar-SA"/>
        </w:rPr>
        <w:t xml:space="preserve"> </w:t>
      </w:r>
      <w:r w:rsidR="00C2293F">
        <w:rPr>
          <w:lang w:bidi="ar-SA"/>
        </w:rPr>
        <w:t xml:space="preserve">(FSANZ </w:t>
      </w:r>
      <w:r w:rsidR="00C2293F" w:rsidRPr="00680B06">
        <w:rPr>
          <w:lang w:bidi="ar-SA"/>
        </w:rPr>
        <w:t>2011</w:t>
      </w:r>
      <w:r w:rsidR="00EB6109">
        <w:rPr>
          <w:lang w:bidi="ar-SA"/>
        </w:rPr>
        <w:t>, 2015, 2017</w:t>
      </w:r>
      <w:r w:rsidR="00C2293F">
        <w:rPr>
          <w:lang w:bidi="ar-SA"/>
        </w:rPr>
        <w:t>)</w:t>
      </w:r>
      <w:r w:rsidR="00C2293F" w:rsidRPr="00680B06">
        <w:rPr>
          <w:lang w:bidi="ar-SA"/>
        </w:rPr>
        <w:t xml:space="preserve">. </w:t>
      </w:r>
      <w:r w:rsidR="00EB6109">
        <w:rPr>
          <w:lang w:bidi="ar-SA"/>
        </w:rPr>
        <w:t>These also</w:t>
      </w:r>
      <w:r w:rsidR="00C2293F" w:rsidRPr="00680B06">
        <w:rPr>
          <w:lang w:bidi="ar-SA"/>
        </w:rPr>
        <w:t xml:space="preserve"> refer to the European Food Safety Authority (EFSA) scientific opinion on s</w:t>
      </w:r>
      <w:r w:rsidR="00C2293F">
        <w:rPr>
          <w:lang w:bidi="ar-SA"/>
        </w:rPr>
        <w:t>teviol glycosides in 2010 (EFSA</w:t>
      </w:r>
      <w:r w:rsidR="00C2293F" w:rsidRPr="00680B06">
        <w:rPr>
          <w:lang w:bidi="ar-SA"/>
        </w:rPr>
        <w:t xml:space="preserve"> 2010). Two HPLC analytical methods ha</w:t>
      </w:r>
      <w:r w:rsidR="00C2293F">
        <w:rPr>
          <w:lang w:bidi="ar-SA"/>
        </w:rPr>
        <w:t>ve been published (Geuns et al 2008, Gardana et al</w:t>
      </w:r>
      <w:r w:rsidR="00C2293F" w:rsidRPr="00680B06">
        <w:rPr>
          <w:lang w:bidi="ar-SA"/>
        </w:rPr>
        <w:t xml:space="preserve"> 2010).</w:t>
      </w:r>
      <w:r w:rsidR="00EB6109">
        <w:rPr>
          <w:lang w:bidi="ar-SA"/>
        </w:rPr>
        <w:t xml:space="preserve"> </w:t>
      </w:r>
      <w:r w:rsidR="005E372C">
        <w:rPr>
          <w:lang w:bidi="ar-SA"/>
        </w:rPr>
        <w:t xml:space="preserve">The most recent </w:t>
      </w:r>
      <w:r w:rsidR="00AE5426">
        <w:rPr>
          <w:lang w:bidi="ar-SA"/>
        </w:rPr>
        <w:t>JECFA</w:t>
      </w:r>
      <w:r w:rsidR="005E372C">
        <w:rPr>
          <w:lang w:bidi="ar-SA"/>
        </w:rPr>
        <w:t xml:space="preserve"> report includes a validated HPLC-ultraviolet (UV) method for the assay of steviol glycosides that exist in smaller quantities (</w:t>
      </w:r>
      <w:r w:rsidR="00AE5426">
        <w:rPr>
          <w:lang w:bidi="ar-SA"/>
        </w:rPr>
        <w:t>JECFA</w:t>
      </w:r>
      <w:r w:rsidR="005E372C">
        <w:rPr>
          <w:lang w:bidi="ar-SA"/>
        </w:rPr>
        <w:t xml:space="preserve"> 2017</w:t>
      </w:r>
      <w:r w:rsidR="00F61C6E">
        <w:rPr>
          <w:lang w:bidi="ar-SA"/>
        </w:rPr>
        <w:t>a</w:t>
      </w:r>
      <w:r w:rsidR="005E372C">
        <w:rPr>
          <w:lang w:bidi="ar-SA"/>
        </w:rPr>
        <w:t xml:space="preserve">). </w:t>
      </w:r>
      <w:r w:rsidR="00EB6109">
        <w:rPr>
          <w:lang w:bidi="ar-SA"/>
        </w:rPr>
        <w:t>These methods should be applicable for analysis of all types of steviol glycosides added to foods.</w:t>
      </w:r>
      <w:r w:rsidR="005E372C">
        <w:rPr>
          <w:lang w:bidi="ar-SA"/>
        </w:rPr>
        <w:t xml:space="preserve"> </w:t>
      </w:r>
    </w:p>
    <w:p w14:paraId="1C2B5780" w14:textId="78D0B658" w:rsidR="00443880" w:rsidRDefault="00443880" w:rsidP="00817A18">
      <w:pPr>
        <w:pStyle w:val="Heading2"/>
      </w:pPr>
      <w:bookmarkStart w:id="61" w:name="_Toc522718987"/>
      <w:bookmarkStart w:id="62" w:name="_Toc522712025"/>
      <w:bookmarkStart w:id="63" w:name="_Toc523830660"/>
      <w:bookmarkStart w:id="64" w:name="_Toc526337825"/>
      <w:bookmarkStart w:id="65" w:name="_Toc526343084"/>
      <w:r>
        <w:t>Product stability</w:t>
      </w:r>
      <w:bookmarkEnd w:id="61"/>
      <w:bookmarkEnd w:id="62"/>
      <w:bookmarkEnd w:id="63"/>
      <w:bookmarkEnd w:id="64"/>
      <w:bookmarkEnd w:id="65"/>
    </w:p>
    <w:p w14:paraId="14B3FF07" w14:textId="7BDABFD4" w:rsidR="00B41C1C" w:rsidRPr="00154A20" w:rsidRDefault="002F64FB" w:rsidP="00154A20">
      <w:pPr>
        <w:rPr>
          <w:lang w:bidi="ar-SA"/>
        </w:rPr>
      </w:pPr>
      <w:r>
        <w:rPr>
          <w:lang w:bidi="ar-SA"/>
        </w:rPr>
        <w:t xml:space="preserve">FSANZ and </w:t>
      </w:r>
      <w:r w:rsidR="00B41C1C">
        <w:rPr>
          <w:lang w:bidi="ar-SA"/>
        </w:rPr>
        <w:t>JECFA concluded that steviol glycosides are thermally and hydrolytically stable for use in foods</w:t>
      </w:r>
      <w:r w:rsidR="005618B3">
        <w:rPr>
          <w:lang w:bidi="ar-SA"/>
        </w:rPr>
        <w:t>, including</w:t>
      </w:r>
      <w:r w:rsidR="00B41C1C">
        <w:rPr>
          <w:lang w:bidi="ar-SA"/>
        </w:rPr>
        <w:t xml:space="preserve"> acidic beverages </w:t>
      </w:r>
      <w:r w:rsidR="005618B3">
        <w:rPr>
          <w:lang w:bidi="ar-SA"/>
        </w:rPr>
        <w:t xml:space="preserve">like fruit drinks </w:t>
      </w:r>
      <w:r w:rsidR="00B41C1C">
        <w:rPr>
          <w:lang w:bidi="ar-SA"/>
        </w:rPr>
        <w:t>under normal processing and storage conditions</w:t>
      </w:r>
      <w:r w:rsidR="003B36D7">
        <w:rPr>
          <w:lang w:bidi="ar-SA"/>
        </w:rPr>
        <w:t xml:space="preserve"> (</w:t>
      </w:r>
      <w:r>
        <w:rPr>
          <w:lang w:bidi="ar-SA"/>
        </w:rPr>
        <w:t xml:space="preserve">FSANZ 2015, 2017, 2018, </w:t>
      </w:r>
      <w:r w:rsidR="003B36D7">
        <w:rPr>
          <w:lang w:bidi="ar-SA"/>
        </w:rPr>
        <w:t>FAO 2016)</w:t>
      </w:r>
      <w:r w:rsidR="00B41C1C">
        <w:rPr>
          <w:lang w:bidi="ar-SA"/>
        </w:rPr>
        <w:t>.</w:t>
      </w:r>
    </w:p>
    <w:p w14:paraId="09DD9882" w14:textId="65A880ED" w:rsidR="00443880" w:rsidRPr="00443880" w:rsidRDefault="005F65EC" w:rsidP="005F65EC">
      <w:pPr>
        <w:pStyle w:val="Heading2"/>
        <w:numPr>
          <w:ilvl w:val="0"/>
          <w:numId w:val="0"/>
        </w:numPr>
        <w:ind w:left="576" w:hanging="576"/>
      </w:pPr>
      <w:bookmarkStart w:id="66" w:name="_Toc522718988"/>
      <w:bookmarkStart w:id="67" w:name="_Toc522712026"/>
      <w:bookmarkStart w:id="68" w:name="_Toc523830661"/>
      <w:bookmarkStart w:id="69" w:name="_Toc526337826"/>
      <w:bookmarkStart w:id="70" w:name="_Toc526343085"/>
      <w:r>
        <w:t xml:space="preserve">2.10 </w:t>
      </w:r>
      <w:r w:rsidR="00443880">
        <w:t xml:space="preserve">Food technology </w:t>
      </w:r>
      <w:r w:rsidR="0079496A">
        <w:t>conclusions</w:t>
      </w:r>
      <w:bookmarkEnd w:id="66"/>
      <w:bookmarkEnd w:id="67"/>
      <w:bookmarkEnd w:id="68"/>
      <w:bookmarkEnd w:id="69"/>
      <w:bookmarkEnd w:id="70"/>
    </w:p>
    <w:p w14:paraId="0C57C4F4" w14:textId="09A8B962" w:rsidR="009C71DA" w:rsidRPr="009C71DA" w:rsidRDefault="009C71DA" w:rsidP="009C71DA">
      <w:pPr>
        <w:rPr>
          <w:lang w:bidi="ar-SA"/>
        </w:rPr>
      </w:pPr>
      <w:r>
        <w:t xml:space="preserve">Steviol glycosides provide a technological </w:t>
      </w:r>
      <w:r w:rsidR="000D08CC">
        <w:t>purpose</w:t>
      </w:r>
      <w:r>
        <w:t xml:space="preserve"> as an intense sweetener and are already permitted in a range of foods at various maximum permitted levels, including levels </w:t>
      </w:r>
      <w:r w:rsidR="000C7085">
        <w:t>consistent with</w:t>
      </w:r>
      <w:r>
        <w:t xml:space="preserve"> good manufacturing practice. The food technology assessment concludes that the use of steviol glycosides as a food additive in fruit drinks, is technologically justified in the quantity and form proposed. </w:t>
      </w:r>
    </w:p>
    <w:p w14:paraId="2202D134" w14:textId="2443702E" w:rsidR="00443880" w:rsidRDefault="00443880" w:rsidP="00443880">
      <w:pPr>
        <w:pStyle w:val="Heading1"/>
      </w:pPr>
      <w:r>
        <w:t xml:space="preserve"> </w:t>
      </w:r>
      <w:bookmarkStart w:id="71" w:name="_Toc522718989"/>
      <w:bookmarkStart w:id="72" w:name="_Toc522712027"/>
      <w:bookmarkStart w:id="73" w:name="_Toc523830662"/>
      <w:bookmarkStart w:id="74" w:name="_Toc526337827"/>
      <w:bookmarkStart w:id="75" w:name="_Toc526343086"/>
      <w:r>
        <w:t>Hazard assessment</w:t>
      </w:r>
      <w:bookmarkEnd w:id="71"/>
      <w:bookmarkEnd w:id="72"/>
      <w:bookmarkEnd w:id="73"/>
      <w:bookmarkEnd w:id="74"/>
      <w:bookmarkEnd w:id="75"/>
    </w:p>
    <w:p w14:paraId="60412343" w14:textId="69278214" w:rsidR="00223FA0" w:rsidRDefault="00443880" w:rsidP="00817A18">
      <w:pPr>
        <w:pStyle w:val="Heading2"/>
      </w:pPr>
      <w:r>
        <w:t xml:space="preserve"> </w:t>
      </w:r>
      <w:bookmarkStart w:id="76" w:name="_Toc522718990"/>
      <w:bookmarkStart w:id="77" w:name="_Toc522712028"/>
      <w:bookmarkStart w:id="78" w:name="_Toc523830663"/>
      <w:bookmarkStart w:id="79" w:name="_Toc526337828"/>
      <w:bookmarkStart w:id="80" w:name="_Toc526343087"/>
      <w:r w:rsidR="00223FA0">
        <w:t xml:space="preserve">Previous FSANZ </w:t>
      </w:r>
      <w:r w:rsidR="0065154C">
        <w:t xml:space="preserve">hazard </w:t>
      </w:r>
      <w:r w:rsidR="00223FA0">
        <w:t>assessments</w:t>
      </w:r>
      <w:bookmarkEnd w:id="76"/>
      <w:bookmarkEnd w:id="77"/>
      <w:bookmarkEnd w:id="78"/>
      <w:bookmarkEnd w:id="79"/>
      <w:bookmarkEnd w:id="80"/>
    </w:p>
    <w:p w14:paraId="7C71F815" w14:textId="5C4BF594" w:rsidR="00223FA0" w:rsidRDefault="00223FA0" w:rsidP="00223FA0">
      <w:pPr>
        <w:rPr>
          <w:lang w:eastAsia="en-AU"/>
        </w:rPr>
      </w:pPr>
      <w:r w:rsidRPr="00C01C95">
        <w:rPr>
          <w:lang w:eastAsia="en-AU"/>
        </w:rPr>
        <w:t xml:space="preserve">FSANZ </w:t>
      </w:r>
      <w:r w:rsidR="005618B3">
        <w:rPr>
          <w:lang w:eastAsia="en-AU"/>
        </w:rPr>
        <w:t xml:space="preserve">first </w:t>
      </w:r>
      <w:r w:rsidRPr="00C01C95">
        <w:rPr>
          <w:lang w:eastAsia="en-AU"/>
        </w:rPr>
        <w:t xml:space="preserve">assessed steviol glycosides in </w:t>
      </w:r>
      <w:r w:rsidR="00462CD2">
        <w:rPr>
          <w:lang w:eastAsia="en-AU"/>
        </w:rPr>
        <w:t>a</w:t>
      </w:r>
      <w:r w:rsidRPr="00C01C95">
        <w:rPr>
          <w:lang w:eastAsia="en-AU"/>
        </w:rPr>
        <w:t>pplication A540</w:t>
      </w:r>
      <w:r w:rsidR="005618B3">
        <w:rPr>
          <w:lang w:eastAsia="en-AU"/>
        </w:rPr>
        <w:t xml:space="preserve"> (FSANZ 2008</w:t>
      </w:r>
      <w:r w:rsidRPr="00C01C95">
        <w:rPr>
          <w:lang w:eastAsia="en-AU"/>
        </w:rPr>
        <w:t>) and established an</w:t>
      </w:r>
      <w:r>
        <w:rPr>
          <w:lang w:eastAsia="en-AU"/>
        </w:rPr>
        <w:t xml:space="preserve"> </w:t>
      </w:r>
      <w:r w:rsidRPr="00C01C95">
        <w:rPr>
          <w:lang w:eastAsia="en-AU"/>
        </w:rPr>
        <w:t>ADI of 0-4 mg/kg bw</w:t>
      </w:r>
      <w:r w:rsidR="00C01AF0">
        <w:rPr>
          <w:lang w:eastAsia="en-AU"/>
        </w:rPr>
        <w:t>, expressed as</w:t>
      </w:r>
      <w:r w:rsidRPr="00C01C95">
        <w:rPr>
          <w:lang w:eastAsia="en-AU"/>
        </w:rPr>
        <w:t xml:space="preserve"> steviol. At that time, ten steviol glycosides were </w:t>
      </w:r>
      <w:r w:rsidRPr="00C01C95">
        <w:rPr>
          <w:lang w:eastAsia="en-AU"/>
        </w:rPr>
        <w:lastRenderedPageBreak/>
        <w:t xml:space="preserve">known; stevioside, dulcoside, steviolbioside, rubudioside, and rebaudiosides A, B, C, D, E and F. </w:t>
      </w:r>
    </w:p>
    <w:p w14:paraId="3B472E52" w14:textId="77777777" w:rsidR="00223FA0" w:rsidRDefault="00223FA0" w:rsidP="00223FA0">
      <w:pPr>
        <w:rPr>
          <w:lang w:eastAsia="en-AU"/>
        </w:rPr>
      </w:pPr>
    </w:p>
    <w:p w14:paraId="34C8E0D2" w14:textId="1A869D62" w:rsidR="00223FA0" w:rsidRPr="00C01C95" w:rsidRDefault="00223FA0" w:rsidP="00223FA0">
      <w:pPr>
        <w:rPr>
          <w:lang w:eastAsia="en-AU"/>
        </w:rPr>
      </w:pPr>
      <w:r w:rsidRPr="00C01C95">
        <w:rPr>
          <w:lang w:eastAsia="en-AU"/>
        </w:rPr>
        <w:t xml:space="preserve">FSANZ updated the hazard assessment of steviol glycosides </w:t>
      </w:r>
      <w:r w:rsidRPr="007B4544">
        <w:rPr>
          <w:lang w:eastAsia="en-AU"/>
        </w:rPr>
        <w:t xml:space="preserve">in </w:t>
      </w:r>
      <w:r w:rsidR="00462CD2">
        <w:rPr>
          <w:lang w:eastAsia="en-AU"/>
        </w:rPr>
        <w:t>a</w:t>
      </w:r>
      <w:r w:rsidRPr="007B4544">
        <w:rPr>
          <w:lang w:eastAsia="en-AU"/>
        </w:rPr>
        <w:t>pplication</w:t>
      </w:r>
      <w:r w:rsidR="00842BB1">
        <w:rPr>
          <w:lang w:eastAsia="en-AU"/>
        </w:rPr>
        <w:t>s</w:t>
      </w:r>
      <w:r w:rsidRPr="007B4544">
        <w:rPr>
          <w:lang w:eastAsia="en-AU"/>
        </w:rPr>
        <w:t xml:space="preserve"> A1037</w:t>
      </w:r>
      <w:r w:rsidR="00842BB1">
        <w:rPr>
          <w:lang w:eastAsia="en-AU"/>
        </w:rPr>
        <w:t>, A1108 and A1132</w:t>
      </w:r>
      <w:r w:rsidR="005618B3">
        <w:rPr>
          <w:lang w:eastAsia="en-AU"/>
        </w:rPr>
        <w:t xml:space="preserve"> (FSANZ 2011</w:t>
      </w:r>
      <w:r w:rsidR="00842BB1">
        <w:rPr>
          <w:lang w:eastAsia="en-AU"/>
        </w:rPr>
        <w:t>, 2015, 2017</w:t>
      </w:r>
      <w:r w:rsidRPr="007B4544">
        <w:rPr>
          <w:lang w:eastAsia="en-AU"/>
        </w:rPr>
        <w:t>)</w:t>
      </w:r>
      <w:r w:rsidRPr="00C01C95">
        <w:rPr>
          <w:lang w:eastAsia="en-AU"/>
        </w:rPr>
        <w:t xml:space="preserve"> but did not find reason to change the ADI established in 2008.</w:t>
      </w:r>
    </w:p>
    <w:p w14:paraId="5E0ADB6C" w14:textId="6190A57C" w:rsidR="00223FA0" w:rsidRDefault="00223FA0" w:rsidP="00223FA0">
      <w:pPr>
        <w:rPr>
          <w:lang w:eastAsia="en-AU"/>
        </w:rPr>
      </w:pPr>
    </w:p>
    <w:p w14:paraId="6F407634" w14:textId="65969214" w:rsidR="00F43A8C" w:rsidRPr="00E02CC2" w:rsidRDefault="00223FA0" w:rsidP="00223FA0">
      <w:r>
        <w:rPr>
          <w:lang w:eastAsia="en-AU"/>
        </w:rPr>
        <w:t xml:space="preserve">In </w:t>
      </w:r>
      <w:r w:rsidR="00A641FC">
        <w:rPr>
          <w:lang w:eastAsia="en-AU"/>
        </w:rPr>
        <w:t>application A1157</w:t>
      </w:r>
      <w:r>
        <w:rPr>
          <w:lang w:eastAsia="en-AU"/>
        </w:rPr>
        <w:t xml:space="preserve"> FSANZ </w:t>
      </w:r>
      <w:r w:rsidR="00E02CC2">
        <w:rPr>
          <w:lang w:eastAsia="en-AU"/>
        </w:rPr>
        <w:t xml:space="preserve">again </w:t>
      </w:r>
      <w:r>
        <w:rPr>
          <w:lang w:eastAsia="en-AU"/>
        </w:rPr>
        <w:t>reviewed the available toxicological and other relevan</w:t>
      </w:r>
      <w:r w:rsidR="00E02CC2">
        <w:rPr>
          <w:lang w:eastAsia="en-AU"/>
        </w:rPr>
        <w:t xml:space="preserve">t data on steviol glycosides published subsequent to FSANZ’s previous assessments. This review was part of the evaluation of an application to permit </w:t>
      </w:r>
      <w:r w:rsidR="00C01AF0">
        <w:rPr>
          <w:lang w:eastAsia="en-AU"/>
        </w:rPr>
        <w:t>rebaudioside M (</w:t>
      </w:r>
      <w:r w:rsidR="004C1B55">
        <w:rPr>
          <w:lang w:eastAsia="en-AU"/>
        </w:rPr>
        <w:t>Reb M</w:t>
      </w:r>
      <w:r w:rsidR="00C01AF0">
        <w:rPr>
          <w:lang w:eastAsia="en-AU"/>
        </w:rPr>
        <w:t>)</w:t>
      </w:r>
      <w:r w:rsidR="00E02CC2">
        <w:rPr>
          <w:lang w:eastAsia="en-AU"/>
        </w:rPr>
        <w:t xml:space="preserve"> from a novel production method </w:t>
      </w:r>
      <w:r w:rsidR="00E02CC2" w:rsidRPr="000003E6">
        <w:t xml:space="preserve">using enzymes sourced from genetically modified strains of </w:t>
      </w:r>
      <w:r w:rsidR="00E02CC2" w:rsidRPr="000003E6">
        <w:rPr>
          <w:i/>
        </w:rPr>
        <w:t>Pichia pastoris</w:t>
      </w:r>
      <w:r w:rsidR="00E02CC2">
        <w:t xml:space="preserve"> (</w:t>
      </w:r>
      <w:r w:rsidR="00A641FC">
        <w:t>FSANZ, 2018</w:t>
      </w:r>
      <w:r w:rsidR="00E02CC2">
        <w:t xml:space="preserve">). </w:t>
      </w:r>
      <w:r w:rsidR="006C172C">
        <w:t>The available data raised no concerns regarding the safety of steviol glycosides and did not indicate a need to amend the ADI</w:t>
      </w:r>
      <w:r w:rsidR="00462CD2">
        <w:t xml:space="preserve"> of </w:t>
      </w:r>
      <w:r w:rsidR="00462CD2" w:rsidRPr="00C01C95">
        <w:rPr>
          <w:lang w:eastAsia="en-AU"/>
        </w:rPr>
        <w:t>0-4 mg/kg bw</w:t>
      </w:r>
      <w:r w:rsidR="006C172C">
        <w:t xml:space="preserve">. </w:t>
      </w:r>
    </w:p>
    <w:p w14:paraId="0402C026" w14:textId="010D99CD" w:rsidR="006610FE" w:rsidRDefault="006610FE" w:rsidP="00817A18">
      <w:pPr>
        <w:pStyle w:val="Heading2"/>
      </w:pPr>
      <w:bookmarkStart w:id="81" w:name="_Toc522718991"/>
      <w:bookmarkStart w:id="82" w:name="_Toc522712029"/>
      <w:bookmarkStart w:id="83" w:name="_Toc523830664"/>
      <w:bookmarkStart w:id="84" w:name="_Toc526337829"/>
      <w:bookmarkStart w:id="85" w:name="_Toc526343088"/>
      <w:r>
        <w:t xml:space="preserve">Objectives </w:t>
      </w:r>
      <w:r w:rsidR="006013C1">
        <w:t xml:space="preserve">for </w:t>
      </w:r>
      <w:r>
        <w:t xml:space="preserve">the </w:t>
      </w:r>
      <w:r w:rsidR="0065154C">
        <w:t xml:space="preserve">hazard </w:t>
      </w:r>
      <w:r>
        <w:t>assessment</w:t>
      </w:r>
      <w:bookmarkEnd w:id="81"/>
      <w:bookmarkEnd w:id="82"/>
      <w:bookmarkEnd w:id="83"/>
      <w:bookmarkEnd w:id="84"/>
      <w:bookmarkEnd w:id="85"/>
    </w:p>
    <w:p w14:paraId="4F8521FC" w14:textId="70132FBA" w:rsidR="000B7C23" w:rsidRDefault="006610FE" w:rsidP="006610FE">
      <w:pPr>
        <w:rPr>
          <w:lang w:bidi="ar-SA"/>
        </w:rPr>
      </w:pPr>
      <w:r>
        <w:rPr>
          <w:lang w:bidi="ar-SA"/>
        </w:rPr>
        <w:t xml:space="preserve">FSANZ has </w:t>
      </w:r>
      <w:r w:rsidR="00BC2DFE">
        <w:rPr>
          <w:lang w:bidi="ar-SA"/>
        </w:rPr>
        <w:t>recently</w:t>
      </w:r>
      <w:r>
        <w:rPr>
          <w:lang w:bidi="ar-SA"/>
        </w:rPr>
        <w:t xml:space="preserve"> assessed </w:t>
      </w:r>
      <w:r w:rsidR="000B7C23">
        <w:rPr>
          <w:lang w:bidi="ar-SA"/>
        </w:rPr>
        <w:t xml:space="preserve">new toxicological and other relevant data on the safety of steviol glycosides, as part of </w:t>
      </w:r>
      <w:r w:rsidR="00A641FC">
        <w:rPr>
          <w:lang w:bidi="ar-SA"/>
        </w:rPr>
        <w:t>a</w:t>
      </w:r>
      <w:r w:rsidR="000B7C23">
        <w:rPr>
          <w:lang w:bidi="ar-SA"/>
        </w:rPr>
        <w:t>pplication A1157 (</w:t>
      </w:r>
      <w:r w:rsidR="00A641FC">
        <w:rPr>
          <w:lang w:bidi="ar-SA"/>
        </w:rPr>
        <w:t xml:space="preserve">FSANZ </w:t>
      </w:r>
      <w:r w:rsidR="000B7C23">
        <w:rPr>
          <w:lang w:bidi="ar-SA"/>
        </w:rPr>
        <w:t xml:space="preserve">2018). A </w:t>
      </w:r>
      <w:r w:rsidR="00560724">
        <w:rPr>
          <w:lang w:bidi="ar-SA"/>
        </w:rPr>
        <w:t xml:space="preserve">further </w:t>
      </w:r>
      <w:r w:rsidR="000B7C23">
        <w:rPr>
          <w:lang w:bidi="ar-SA"/>
        </w:rPr>
        <w:t xml:space="preserve">literature search in August 2018 did not identify any additional new studies, but the </w:t>
      </w:r>
      <w:r w:rsidR="00F5737C">
        <w:rPr>
          <w:lang w:bidi="ar-SA"/>
        </w:rPr>
        <w:t>a</w:t>
      </w:r>
      <w:r w:rsidR="000B7C23">
        <w:rPr>
          <w:lang w:bidi="ar-SA"/>
        </w:rPr>
        <w:t xml:space="preserve">pplicant provided details of acute toxicity studies with a rebaudioside A preparation, and one human clinical study that have not been previously assessed by FSANZ. These studies are reviewed below. </w:t>
      </w:r>
    </w:p>
    <w:p w14:paraId="5CDB527B" w14:textId="2A8A498E" w:rsidR="00443880" w:rsidRDefault="00443880" w:rsidP="00817A18">
      <w:pPr>
        <w:pStyle w:val="Heading2"/>
      </w:pPr>
      <w:bookmarkStart w:id="86" w:name="_Toc522718992"/>
      <w:bookmarkStart w:id="87" w:name="_Toc522712030"/>
      <w:bookmarkStart w:id="88" w:name="_Toc523830665"/>
      <w:bookmarkStart w:id="89" w:name="_Toc526337830"/>
      <w:bookmarkStart w:id="90" w:name="_Toc526343089"/>
      <w:r>
        <w:t>Toxicological data</w:t>
      </w:r>
      <w:bookmarkEnd w:id="86"/>
      <w:bookmarkEnd w:id="87"/>
      <w:bookmarkEnd w:id="88"/>
      <w:bookmarkEnd w:id="89"/>
      <w:bookmarkEnd w:id="90"/>
    </w:p>
    <w:p w14:paraId="49F7D946" w14:textId="40F6F113" w:rsidR="009D59CC" w:rsidRDefault="001171DE" w:rsidP="00EA1803">
      <w:pPr>
        <w:pStyle w:val="Heading3"/>
      </w:pPr>
      <w:bookmarkStart w:id="91" w:name="_Toc526337831"/>
      <w:bookmarkStart w:id="92" w:name="_Toc526343090"/>
      <w:r>
        <w:t xml:space="preserve">3.3.1 </w:t>
      </w:r>
      <w:r w:rsidR="009D59CC">
        <w:t>Acute studies in animals</w:t>
      </w:r>
      <w:bookmarkEnd w:id="91"/>
      <w:bookmarkEnd w:id="92"/>
    </w:p>
    <w:p w14:paraId="27F00354" w14:textId="165AF867" w:rsidR="009D59CC" w:rsidRDefault="004F73E7" w:rsidP="004F73E7">
      <w:r>
        <w:t xml:space="preserve">The </w:t>
      </w:r>
      <w:r w:rsidR="00A641FC">
        <w:t>a</w:t>
      </w:r>
      <w:r>
        <w:t xml:space="preserve">pplication makes reference to four acute toxicity studies on a preparation of rebaudioside A (98%) derived from </w:t>
      </w:r>
      <w:r w:rsidRPr="004F73E7">
        <w:rPr>
          <w:i/>
        </w:rPr>
        <w:t>Stevia rebaudiana</w:t>
      </w:r>
      <w:r>
        <w:t>. The study reports are included in a 2012 US FDA Generally Recognised as Safe (GRAS) notification (Mini Star International 2012). The reports</w:t>
      </w:r>
      <w:r w:rsidR="00C8626A">
        <w:t xml:space="preserve"> provide</w:t>
      </w:r>
      <w:r>
        <w:t xml:space="preserve"> detail</w:t>
      </w:r>
      <w:r w:rsidR="00C8626A">
        <w:t>s of</w:t>
      </w:r>
      <w:r>
        <w:t xml:space="preserve"> acute oral and dermal toxicity studies in rats</w:t>
      </w:r>
      <w:r w:rsidR="00C8626A">
        <w:t>,</w:t>
      </w:r>
      <w:r>
        <w:t xml:space="preserve"> and skin and eye irritation studies in rabbits. Only the acute oral toxicity study is reviewed below, as the other studies are not relevant to dietary exposure. </w:t>
      </w:r>
    </w:p>
    <w:p w14:paraId="7C5EF199" w14:textId="399F77F4" w:rsidR="004F73E7" w:rsidRDefault="001171DE">
      <w:pPr>
        <w:pStyle w:val="Heading5"/>
        <w:numPr>
          <w:ilvl w:val="0"/>
          <w:numId w:val="0"/>
        </w:numPr>
      </w:pPr>
      <w:r>
        <w:t>3.3.1.</w:t>
      </w:r>
      <w:r w:rsidR="00E510D5" w:rsidRPr="00F5737C">
        <w:t>1</w:t>
      </w:r>
      <w:r>
        <w:t xml:space="preserve"> </w:t>
      </w:r>
      <w:r w:rsidR="00526786">
        <w:t>Acute oral toxicity study in rats (Mini Star International 2012) Regulatory status: GLP; Conducted according to OECD Test Guideline 425</w:t>
      </w:r>
    </w:p>
    <w:p w14:paraId="3E33B9FF" w14:textId="42E88E46" w:rsidR="00526786" w:rsidRDefault="00526786" w:rsidP="004F73E7">
      <w:r>
        <w:t>The test substance, identified as Stevia Leaf 98% Reb-A Powder Extract, Batch no. 20100910</w:t>
      </w:r>
      <w:r w:rsidR="00255477">
        <w:t xml:space="preserve"> from Ministar International Inc</w:t>
      </w:r>
      <w:r w:rsidR="00D456F7">
        <w:t>,</w:t>
      </w:r>
      <w:r>
        <w:t xml:space="preserve"> was administered to female Sprague Dawley rats as a 50% w/w mixture in water by oral gavage. </w:t>
      </w:r>
      <w:r w:rsidR="00D456F7">
        <w:t xml:space="preserve">Animals were observed for mortality, signs of gross toxicity and behavioural changes during the first few hours after dosing and at least once daily thereafter for 14 days. Body weights were recorded prior to administration of the test substance and again on Days 7 and 14 following dosing. All rats were </w:t>
      </w:r>
      <w:r w:rsidR="007D2120">
        <w:t>killed</w:t>
      </w:r>
      <w:r w:rsidR="00D456F7">
        <w:t xml:space="preserve"> at the end of the 14-day observation period and gross necropsies were performed on all animals. The study was conducted in accordance with the Up and Down Procedure, in which single animals were dosed sequentially with increasing doses ranging from 175-5000 mg/kg bw. </w:t>
      </w:r>
      <w:r w:rsidR="001E157F">
        <w:t xml:space="preserve">Two additional animals were administered 5000 mg/kg bw. </w:t>
      </w:r>
    </w:p>
    <w:p w14:paraId="34331D9A" w14:textId="27F70558" w:rsidR="00D456F7" w:rsidRDefault="00D456F7" w:rsidP="004F73E7"/>
    <w:p w14:paraId="4A94C6BA" w14:textId="72C7389B" w:rsidR="00D456F7" w:rsidRDefault="001E157F" w:rsidP="004F73E7">
      <w:r>
        <w:t xml:space="preserve">All animals survived until the end of the 14-day observation period, gained body weight and appeared active and healthy. No signs of gross toxicity, adverse pharmacological effects or abnormal behaviour were observed. No gross abnormalities </w:t>
      </w:r>
      <w:r w:rsidR="0016141D">
        <w:t xml:space="preserve">were observed at necropsy. </w:t>
      </w:r>
    </w:p>
    <w:p w14:paraId="5FD38EC3" w14:textId="0DC3E067" w:rsidR="0016141D" w:rsidRDefault="0016141D" w:rsidP="004F73E7"/>
    <w:p w14:paraId="2E849255" w14:textId="5F5D0584" w:rsidR="0016141D" w:rsidRDefault="0016141D" w:rsidP="004F73E7">
      <w:r>
        <w:t>The acute oral LD</w:t>
      </w:r>
      <w:r w:rsidRPr="001171DE">
        <w:rPr>
          <w:vertAlign w:val="subscript"/>
        </w:rPr>
        <w:t>50</w:t>
      </w:r>
      <w:r>
        <w:t xml:space="preserve"> of Stevia Leaf 98% Reb-A Powder Extract was greater than 5000 mg/kg bw in female rats under the conditions of this study. </w:t>
      </w:r>
    </w:p>
    <w:p w14:paraId="0EA97724" w14:textId="01ADA11A" w:rsidR="006153B5" w:rsidRDefault="001171DE" w:rsidP="00EA1803">
      <w:pPr>
        <w:pStyle w:val="Heading3"/>
      </w:pPr>
      <w:bookmarkStart w:id="93" w:name="_Toc526337832"/>
      <w:bookmarkStart w:id="94" w:name="_Toc526343091"/>
      <w:r>
        <w:lastRenderedPageBreak/>
        <w:t xml:space="preserve">3.3.2 </w:t>
      </w:r>
      <w:r w:rsidR="00560724">
        <w:t>Other studies</w:t>
      </w:r>
      <w:bookmarkEnd w:id="93"/>
      <w:bookmarkEnd w:id="94"/>
    </w:p>
    <w:p w14:paraId="51E8F4DE" w14:textId="345E3DFA" w:rsidR="006153B5" w:rsidRDefault="001171DE">
      <w:pPr>
        <w:pStyle w:val="Heading5"/>
        <w:numPr>
          <w:ilvl w:val="0"/>
          <w:numId w:val="0"/>
        </w:numPr>
      </w:pPr>
      <w:r>
        <w:t xml:space="preserve">3.3.2.1 </w:t>
      </w:r>
      <w:r w:rsidR="00560724">
        <w:t>Effects on food intake, satiety and postprandial glucose and insulin levels (Anton et al</w:t>
      </w:r>
      <w:r w:rsidR="00501B07">
        <w:t>.</w:t>
      </w:r>
      <w:r w:rsidR="00560724">
        <w:t xml:space="preserve"> 2010)</w:t>
      </w:r>
    </w:p>
    <w:p w14:paraId="12219FBF" w14:textId="64A555FE" w:rsidR="00560724" w:rsidRDefault="00501B07" w:rsidP="004F73E7">
      <w:r>
        <w:t xml:space="preserve">The effects of stevia, aspartame and sucrose on food intake, satiety and blood glucose/insulin levels </w:t>
      </w:r>
      <w:r w:rsidR="00C21687">
        <w:t>were compared</w:t>
      </w:r>
      <w:r>
        <w:t xml:space="preserve"> in a group of human volunteers. </w:t>
      </w:r>
      <w:r w:rsidR="00286814">
        <w:t>Two sets of individuals aged 18</w:t>
      </w:r>
      <w:r w:rsidR="001171DE">
        <w:rPr>
          <w:rFonts w:cs="Arial"/>
        </w:rPr>
        <w:t>-</w:t>
      </w:r>
      <w:r w:rsidR="00286814">
        <w:t>50 years</w:t>
      </w:r>
      <w:r w:rsidR="00955ECA">
        <w:t xml:space="preserve"> were recruited</w:t>
      </w:r>
      <w:r w:rsidR="00286814">
        <w:t>: 19 lean individuals (Body Mass Index [BMI] 20.0-24.9 kg/m</w:t>
      </w:r>
      <w:r w:rsidR="00286814" w:rsidRPr="00286814">
        <w:rPr>
          <w:vertAlign w:val="superscript"/>
        </w:rPr>
        <w:t>2</w:t>
      </w:r>
      <w:r w:rsidR="00286814">
        <w:t>) and 12 obese individuals (BMI 30-39.9 kg/m</w:t>
      </w:r>
      <w:r w:rsidR="00286814" w:rsidRPr="00286814">
        <w:rPr>
          <w:vertAlign w:val="superscript"/>
        </w:rPr>
        <w:t>2</w:t>
      </w:r>
      <w:r w:rsidR="00286814">
        <w:t xml:space="preserve"> with a waist circumference of </w:t>
      </w:r>
      <w:r w:rsidR="00286814">
        <w:rPr>
          <w:rFonts w:cs="Arial"/>
        </w:rPr>
        <w:t>≥</w:t>
      </w:r>
      <w:r w:rsidR="00286814">
        <w:t xml:space="preserve"> 36 inches for females and </w:t>
      </w:r>
      <w:r w:rsidR="00286814">
        <w:rPr>
          <w:rFonts w:cs="Arial"/>
        </w:rPr>
        <w:t>≥</w:t>
      </w:r>
      <w:r w:rsidR="00286814">
        <w:t xml:space="preserve"> 40 inches for males). All participants completed three test days, each starting after a 12-hour fast. Participants consumed a standard 469 kcal breakfast in the morning, and then 20 minutes prior to lunch and dinner they were given a 400 g preload of tea and crackers with cream cheese sweetened with stevia (290 kcal), aspartame (290 kcal) or sucrose (493 kcal). The order in which the preloads were given was balanced, and participants were blinded to the type of sweetener used. </w:t>
      </w:r>
      <w:r w:rsidR="00B3283C">
        <w:t>Food intake (kcal) was directly measured using IS0 9001 scales, and visual analogue scores</w:t>
      </w:r>
      <w:r w:rsidR="00867137">
        <w:t xml:space="preserve"> (VAS)</w:t>
      </w:r>
      <w:r w:rsidR="00B3283C">
        <w:t xml:space="preserve"> were used to assess subjective ratings of hunger, satiety, fullness and hedonic ratings of food. Participants provided blood samples immediately before and 20 minutes after consuming the first preload, and at 30, 60 and 120 minutes after the test lunch meal. </w:t>
      </w:r>
      <w:r w:rsidR="00867137">
        <w:t xml:space="preserve">Based on previous studies it was determined that a sample size of 30 participants would allow detection of the following measures with &gt; 80% power: </w:t>
      </w:r>
      <w:r w:rsidR="00955ECA">
        <w:t>1) a mean difference between test</w:t>
      </w:r>
      <w:r w:rsidR="00867137">
        <w:t xml:space="preserve"> conditions of 60 kcal of food consumed at the test lunch meal; 2) a mean difference of 83 kcal at the dinner meal; 3) a mean difference of 6 ratings points for VAS ratings of hunger; and 4) a mean difference of 15 rating points for VAS ratings of satiety. </w:t>
      </w:r>
      <w:r w:rsidR="00955ECA">
        <w:t xml:space="preserve">A repeated measures design was used to test if food intake, hunger and satiety or postprandial glucose and insulin levels differed as a function of the three different sweeteners in the preload meal. </w:t>
      </w:r>
    </w:p>
    <w:p w14:paraId="21A2D659" w14:textId="36A168CD" w:rsidR="00B3283C" w:rsidRDefault="00B3283C" w:rsidP="004F73E7"/>
    <w:p w14:paraId="693E542A" w14:textId="34D5F629" w:rsidR="00B3283C" w:rsidRDefault="00955ECA" w:rsidP="004F73E7">
      <w:r>
        <w:t>Participants consumed significantly less food (kcal) over the entire day in the stevia and aspartame conditions compared to the sucrose condition (mean difference between sucrose and stevia condition</w:t>
      </w:r>
      <w:r w:rsidR="00FB0773">
        <w:t>s</w:t>
      </w:r>
      <w:r>
        <w:t>: 300 kcal, p &lt;0.001; sucrose and aspartame condition</w:t>
      </w:r>
      <w:r w:rsidR="00FB0773">
        <w:t>s</w:t>
      </w:r>
      <w:r>
        <w:t xml:space="preserve">: 334 kcal, p &lt; 0.001). </w:t>
      </w:r>
      <w:r w:rsidR="00A57BB1">
        <w:t xml:space="preserve">There was </w:t>
      </w:r>
      <w:r w:rsidR="00FB0773">
        <w:t xml:space="preserve">no </w:t>
      </w:r>
      <w:r w:rsidR="00A57BB1">
        <w:t>significant difference in food consumption between the stevia and aspartame conditions. Food intake at lunch and dinner</w:t>
      </w:r>
      <w:r w:rsidR="00A57BB1" w:rsidDel="00FB0773">
        <w:t xml:space="preserve"> </w:t>
      </w:r>
      <w:r w:rsidR="00FB0773">
        <w:t xml:space="preserve">did not differ </w:t>
      </w:r>
      <w:r w:rsidR="00A57BB1">
        <w:t>significant</w:t>
      </w:r>
      <w:r w:rsidR="00FB0773">
        <w:t>ly</w:t>
      </w:r>
      <w:r w:rsidR="00A57BB1">
        <w:t xml:space="preserve"> between the three test conditions when the preload was excluded from the analysis, indicating that </w:t>
      </w:r>
      <w:r w:rsidR="00C551C2">
        <w:t xml:space="preserve">discretionary food intake did not differ between the conditions. Reported hunger and satiety levels did not differ between the three conditions at any time point. Based on an area under the curve analysis, postprandial blood glucose levels were significantly lower in participants consuming stevia compared to those given sucrose (p &lt;0.01), and postprandial insulin levels were significantly lower in the stevia condition compared to both the aspartame (p = 0.04) and sucrose (p = 0.003) conditions. No adverse events were reported during the trial. </w:t>
      </w:r>
    </w:p>
    <w:p w14:paraId="3582E0D4" w14:textId="23D11680" w:rsidR="00C835F5" w:rsidRDefault="00C835F5" w:rsidP="004F73E7"/>
    <w:p w14:paraId="2758EA65" w14:textId="300EF567" w:rsidR="00C835F5" w:rsidRPr="009D59CC" w:rsidRDefault="00C835F5" w:rsidP="004F73E7">
      <w:r>
        <w:t xml:space="preserve">The study authors concluded that participants </w:t>
      </w:r>
      <w:r w:rsidR="008A75D3">
        <w:t xml:space="preserve">who consumed lower calorie preloads containing stevia or aspartame </w:t>
      </w:r>
      <w:r>
        <w:t xml:space="preserve">did not compensate by eating more lunch or dinner </w:t>
      </w:r>
      <w:r w:rsidR="008A75D3">
        <w:t>compared to when they consumed higher calorie preloads containing sucrose. They also</w:t>
      </w:r>
      <w:r>
        <w:t xml:space="preserve"> reported sim</w:t>
      </w:r>
      <w:r w:rsidR="008A75D3">
        <w:t>ilar levels of satiety. In addition, s</w:t>
      </w:r>
      <w:r w:rsidR="00B23352">
        <w:t xml:space="preserve">tevia preloads reduced postprandial blood glucose and insulin levels. </w:t>
      </w:r>
    </w:p>
    <w:p w14:paraId="74A3F051" w14:textId="78119AD5" w:rsidR="00443880" w:rsidRPr="00443880" w:rsidRDefault="00443880" w:rsidP="00817A18">
      <w:pPr>
        <w:pStyle w:val="Heading2"/>
      </w:pPr>
      <w:bookmarkStart w:id="95" w:name="_Toc522718993"/>
      <w:bookmarkStart w:id="96" w:name="_Toc522712031"/>
      <w:bookmarkStart w:id="97" w:name="_Toc523830666"/>
      <w:bookmarkStart w:id="98" w:name="_Toc526337833"/>
      <w:bookmarkStart w:id="99" w:name="_Toc526343092"/>
      <w:r>
        <w:t>Assessments by other agencies</w:t>
      </w:r>
      <w:bookmarkEnd w:id="95"/>
      <w:bookmarkEnd w:id="96"/>
      <w:bookmarkEnd w:id="97"/>
      <w:bookmarkEnd w:id="98"/>
      <w:bookmarkEnd w:id="99"/>
    </w:p>
    <w:p w14:paraId="6F8C63D4" w14:textId="58A9F317" w:rsidR="000C0ACC" w:rsidRDefault="001171DE" w:rsidP="00EA1803">
      <w:pPr>
        <w:pStyle w:val="Heading3"/>
      </w:pPr>
      <w:bookmarkStart w:id="100" w:name="_Toc526337834"/>
      <w:bookmarkStart w:id="101" w:name="_Toc526343093"/>
      <w:r>
        <w:t>3.4.1</w:t>
      </w:r>
      <w:r w:rsidR="000C0ACC">
        <w:t xml:space="preserve"> Joint FAO/WHO Expert Committee on Food Additives (JECFA)</w:t>
      </w:r>
      <w:bookmarkEnd w:id="100"/>
      <w:bookmarkEnd w:id="101"/>
    </w:p>
    <w:p w14:paraId="77DEA4EA" w14:textId="5F35B8F1" w:rsidR="000C0ACC" w:rsidRDefault="000C0ACC" w:rsidP="000C0ACC">
      <w:pPr>
        <w:rPr>
          <w:lang w:bidi="ar-SA"/>
        </w:rPr>
      </w:pPr>
      <w:r>
        <w:rPr>
          <w:lang w:bidi="ar-SA"/>
        </w:rPr>
        <w:t xml:space="preserve">JECFA reviewed the safety of steviol glycosides at their 51st, 63rd, 68th, 69th and 82nd meetings. A temporary ADI of 0 to 2 mg/kg bw was established at the 63rd meeting, which was subsequently replaced with a full ADI of 0 to 4 mg/kg bw, expressed as steviol, for steviol glycosides at the 69th meeting. A re-evaluation of steviol glycosides at the 82nd </w:t>
      </w:r>
      <w:r>
        <w:rPr>
          <w:lang w:bidi="ar-SA"/>
        </w:rPr>
        <w:lastRenderedPageBreak/>
        <w:t xml:space="preserve">meeting, in 2016, confirmed this ADI (FAO/WHO 2016). </w:t>
      </w:r>
    </w:p>
    <w:p w14:paraId="33698A3D" w14:textId="2EED0477" w:rsidR="000C0ACC" w:rsidRDefault="001171DE" w:rsidP="00EA1803">
      <w:pPr>
        <w:pStyle w:val="Heading3"/>
      </w:pPr>
      <w:bookmarkStart w:id="102" w:name="_Toc526337835"/>
      <w:bookmarkStart w:id="103" w:name="_Toc526343094"/>
      <w:r>
        <w:t>3.4.2</w:t>
      </w:r>
      <w:r w:rsidR="000C0ACC">
        <w:tab/>
        <w:t>Health Canada</w:t>
      </w:r>
      <w:bookmarkEnd w:id="102"/>
      <w:bookmarkEnd w:id="103"/>
    </w:p>
    <w:p w14:paraId="1084A9C9" w14:textId="15485439" w:rsidR="00443880" w:rsidRDefault="000C0ACC" w:rsidP="000C0ACC">
      <w:pPr>
        <w:rPr>
          <w:lang w:bidi="ar-SA"/>
        </w:rPr>
      </w:pPr>
      <w:r>
        <w:rPr>
          <w:lang w:bidi="ar-SA"/>
        </w:rPr>
        <w:t xml:space="preserve">Health Canada expanded their definition of steviol glycosides to include </w:t>
      </w:r>
      <w:r w:rsidDel="004C1B55">
        <w:rPr>
          <w:lang w:bidi="ar-SA"/>
        </w:rPr>
        <w:t>Reb M</w:t>
      </w:r>
      <w:r>
        <w:rPr>
          <w:lang w:bidi="ar-SA"/>
        </w:rPr>
        <w:t xml:space="preserve"> in 2016, in recognition of the common metabolic fate of steviol glycosides; that is, hydrolysis to steviol, conjugation by glucuronidation and urinary excretion (Health Canada 2016). More recently Health Canada further expanded their definition of steviol glycosides to include all steviol glycosides found in </w:t>
      </w:r>
      <w:r w:rsidRPr="00963144">
        <w:rPr>
          <w:i/>
          <w:lang w:bidi="ar-SA"/>
        </w:rPr>
        <w:t>Stevia rebaudiana</w:t>
      </w:r>
      <w:r>
        <w:rPr>
          <w:lang w:bidi="ar-SA"/>
        </w:rPr>
        <w:t xml:space="preserve"> Bertoni (Health Canada 2017).</w:t>
      </w:r>
    </w:p>
    <w:p w14:paraId="74ED3B90" w14:textId="1B113144" w:rsidR="0083728E" w:rsidRDefault="001171DE" w:rsidP="00EA1803">
      <w:pPr>
        <w:pStyle w:val="Heading3"/>
      </w:pPr>
      <w:bookmarkStart w:id="104" w:name="_Toc516581535"/>
      <w:bookmarkStart w:id="105" w:name="_Toc519068374"/>
      <w:bookmarkStart w:id="106" w:name="_Toc526337836"/>
      <w:bookmarkStart w:id="107" w:name="_Toc526343095"/>
      <w:r>
        <w:t xml:space="preserve">3.4.3 </w:t>
      </w:r>
      <w:r w:rsidR="0083728E" w:rsidRPr="00C3746E">
        <w:t>United States Food and Drug Administration (FDA)</w:t>
      </w:r>
      <w:bookmarkEnd w:id="104"/>
      <w:bookmarkEnd w:id="105"/>
      <w:bookmarkEnd w:id="106"/>
      <w:bookmarkEnd w:id="107"/>
    </w:p>
    <w:p w14:paraId="4C12EEA6" w14:textId="08FDFDDB" w:rsidR="0083728E" w:rsidRDefault="0083728E" w:rsidP="0083728E">
      <w:pPr>
        <w:rPr>
          <w:lang w:eastAsia="en-AU"/>
        </w:rPr>
      </w:pPr>
      <w:r w:rsidRPr="00C3746E">
        <w:rPr>
          <w:lang w:eastAsia="en-AU"/>
        </w:rPr>
        <w:t xml:space="preserve">Since </w:t>
      </w:r>
      <w:r w:rsidRPr="006C172C">
        <w:rPr>
          <w:lang w:eastAsia="en-AU"/>
        </w:rPr>
        <w:t>the beginning of 2016, 13 GRAS notices for steviol glycosides have been submitted to the US FDA. The FDA has responded with no questions concerning the GRAS status of 11 of these products, and two responses are pending.</w:t>
      </w:r>
    </w:p>
    <w:p w14:paraId="769D7AEF" w14:textId="0D197ADE" w:rsidR="00F43A8C" w:rsidRDefault="00F43A8C" w:rsidP="00817A18">
      <w:pPr>
        <w:pStyle w:val="Heading2"/>
        <w:rPr>
          <w:lang w:eastAsia="en-AU"/>
        </w:rPr>
      </w:pPr>
      <w:bookmarkStart w:id="108" w:name="_Toc522718994"/>
      <w:bookmarkStart w:id="109" w:name="_Toc522712032"/>
      <w:bookmarkStart w:id="110" w:name="_Toc523830667"/>
      <w:bookmarkStart w:id="111" w:name="_Toc526337837"/>
      <w:bookmarkStart w:id="112" w:name="_Toc526343096"/>
      <w:r>
        <w:rPr>
          <w:lang w:eastAsia="en-AU"/>
        </w:rPr>
        <w:t>Hazard assessment discussion and conclusion</w:t>
      </w:r>
      <w:bookmarkEnd w:id="108"/>
      <w:bookmarkEnd w:id="109"/>
      <w:bookmarkEnd w:id="110"/>
      <w:bookmarkEnd w:id="111"/>
      <w:bookmarkEnd w:id="112"/>
    </w:p>
    <w:p w14:paraId="6406CF51" w14:textId="189B12D8" w:rsidR="00F43A8C" w:rsidRDefault="00F43A8C" w:rsidP="00F43A8C">
      <w:r w:rsidRPr="00C3746E">
        <w:t xml:space="preserve">Recent assessments by FSANZ and JECFA have confirmed that all steviol glycosides undergo the same metabolic pathway to steviol, which is then glucuronidated and excreted in the urine. A single ADI, expressed as steviol, is therefore appropriate </w:t>
      </w:r>
      <w:r w:rsidR="008F448E">
        <w:t>for</w:t>
      </w:r>
      <w:r w:rsidRPr="00C3746E">
        <w:t xml:space="preserve"> all steviol glycosides. </w:t>
      </w:r>
    </w:p>
    <w:p w14:paraId="744C519B" w14:textId="77777777" w:rsidR="00F43A8C" w:rsidRDefault="00F43A8C" w:rsidP="00F43A8C"/>
    <w:p w14:paraId="2EE398D4" w14:textId="1455AC44" w:rsidR="00F43A8C" w:rsidRPr="00C3746E" w:rsidRDefault="00E03E08" w:rsidP="00F43A8C">
      <w:r>
        <w:t>The assessment of</w:t>
      </w:r>
      <w:r w:rsidR="008F448E">
        <w:t xml:space="preserve"> steviol glycosides </w:t>
      </w:r>
      <w:r w:rsidR="00774455">
        <w:t>in</w:t>
      </w:r>
      <w:r w:rsidR="008F448E">
        <w:t xml:space="preserve"> </w:t>
      </w:r>
      <w:r w:rsidR="00774455">
        <w:t>a</w:t>
      </w:r>
      <w:r w:rsidR="008F448E">
        <w:t>pplication</w:t>
      </w:r>
      <w:r>
        <w:t xml:space="preserve"> A1157 identified a</w:t>
      </w:r>
      <w:r w:rsidR="00F43A8C" w:rsidRPr="00C3746E">
        <w:t xml:space="preserve"> small number of genotoxicity studies, studies in laboratory rodents and studies in human volunteers of steviol glycosides</w:t>
      </w:r>
      <w:r>
        <w:t xml:space="preserve"> that</w:t>
      </w:r>
      <w:r w:rsidR="00F43A8C" w:rsidRPr="00C3746E">
        <w:t xml:space="preserve"> have been published since </w:t>
      </w:r>
      <w:r w:rsidR="00654915">
        <w:t xml:space="preserve">application A1132 </w:t>
      </w:r>
      <w:r w:rsidR="00C4340E">
        <w:t>was assessed</w:t>
      </w:r>
      <w:r w:rsidR="00F43A8C" w:rsidRPr="00C3746E">
        <w:t xml:space="preserve"> by FSANZ</w:t>
      </w:r>
      <w:r>
        <w:t xml:space="preserve">. </w:t>
      </w:r>
      <w:r w:rsidR="008A75D3">
        <w:t xml:space="preserve">For the present assessment, no further new studies were identified, but the Applicant provided details of two studies not previously </w:t>
      </w:r>
      <w:r w:rsidR="00561E45">
        <w:t>reviewed by FSANZ</w:t>
      </w:r>
      <w:r w:rsidR="008A75D3">
        <w:t>; an acute oral toxicity study with a rebaudioside A preparation</w:t>
      </w:r>
      <w:r w:rsidR="00534ED9">
        <w:t>,</w:t>
      </w:r>
      <w:r w:rsidR="008A75D3">
        <w:t xml:space="preserve"> and a study in humans of effects of stevia on food intake and postprandial glucose </w:t>
      </w:r>
      <w:r w:rsidR="00561E45">
        <w:t xml:space="preserve">and </w:t>
      </w:r>
      <w:r w:rsidR="008A75D3">
        <w:t xml:space="preserve">insulin levels. </w:t>
      </w:r>
      <w:r w:rsidR="00561E45">
        <w:t>None of these studies indicate a need</w:t>
      </w:r>
      <w:r w:rsidR="00F43A8C" w:rsidRPr="00C3746E">
        <w:t xml:space="preserve"> to change the existing ADI of 0-4 mg/kg bw</w:t>
      </w:r>
      <w:r w:rsidR="004F5696">
        <w:t>, expressed as</w:t>
      </w:r>
      <w:r w:rsidR="00F43A8C" w:rsidRPr="00C3746E">
        <w:t xml:space="preserve"> steviol. </w:t>
      </w:r>
    </w:p>
    <w:p w14:paraId="080EAEC6" w14:textId="7B7F8B9F" w:rsidR="00F43A8C" w:rsidRPr="00C3746E" w:rsidRDefault="00F43A8C" w:rsidP="00F43A8C"/>
    <w:p w14:paraId="05E0C70C" w14:textId="07E57FB6" w:rsidR="0083728E" w:rsidRDefault="00F43A8C" w:rsidP="000C0ACC">
      <w:pPr>
        <w:rPr>
          <w:lang w:bidi="ar-SA"/>
        </w:rPr>
      </w:pPr>
      <w:r w:rsidRPr="00C3746E">
        <w:t>In conclusion,</w:t>
      </w:r>
      <w:r w:rsidR="00E03E08">
        <w:t xml:space="preserve"> the available data do not raise concerns regarding the safety of steviol glycoside</w:t>
      </w:r>
      <w:r w:rsidR="00261EEB">
        <w:t>s</w:t>
      </w:r>
      <w:r w:rsidR="00E03E08">
        <w:t>. T</w:t>
      </w:r>
      <w:r w:rsidRPr="00C3746E">
        <w:t>he existing ADI of 0-4 mg/kg bw</w:t>
      </w:r>
      <w:r w:rsidR="004F5696">
        <w:t>, expressed</w:t>
      </w:r>
      <w:r w:rsidRPr="00C3746E">
        <w:t xml:space="preserve"> as steviol</w:t>
      </w:r>
      <w:r w:rsidR="004F5696">
        <w:t>,</w:t>
      </w:r>
      <w:r w:rsidRPr="00C3746E">
        <w:t xml:space="preserve"> </w:t>
      </w:r>
      <w:r w:rsidR="00E03E08">
        <w:t xml:space="preserve">previously established by FSANZ continues to be </w:t>
      </w:r>
      <w:r w:rsidR="00963144">
        <w:t>appropriate</w:t>
      </w:r>
      <w:r w:rsidRPr="00C3746E">
        <w:rPr>
          <w:i/>
        </w:rPr>
        <w:t>.</w:t>
      </w:r>
    </w:p>
    <w:p w14:paraId="4FE35B8A" w14:textId="77777777" w:rsidR="000C0ACC" w:rsidRPr="00443880" w:rsidRDefault="000C0ACC" w:rsidP="00443880">
      <w:pPr>
        <w:rPr>
          <w:lang w:bidi="ar-SA"/>
        </w:rPr>
      </w:pPr>
    </w:p>
    <w:p w14:paraId="082D27C9" w14:textId="2EA3862C" w:rsidR="00724574" w:rsidRDefault="00724574" w:rsidP="00443880">
      <w:pPr>
        <w:pStyle w:val="Heading1"/>
        <w:widowControl/>
        <w:spacing w:before="0"/>
        <w:ind w:left="0" w:firstLine="0"/>
      </w:pPr>
      <w:bookmarkStart w:id="113" w:name="_Toc522718995"/>
      <w:bookmarkStart w:id="114" w:name="_Toc522712033"/>
      <w:bookmarkStart w:id="115" w:name="_Toc523830668"/>
      <w:bookmarkStart w:id="116" w:name="_Toc526337838"/>
      <w:bookmarkStart w:id="117" w:name="_Toc526343097"/>
      <w:r>
        <w:t>Dietary exposure assessment</w:t>
      </w:r>
      <w:bookmarkEnd w:id="113"/>
      <w:bookmarkEnd w:id="114"/>
      <w:bookmarkEnd w:id="115"/>
      <w:bookmarkEnd w:id="116"/>
      <w:bookmarkEnd w:id="117"/>
    </w:p>
    <w:p w14:paraId="2FDC3A04" w14:textId="13389980" w:rsidR="00724574" w:rsidRPr="00596AD1" w:rsidRDefault="006013C1" w:rsidP="00817A18">
      <w:pPr>
        <w:pStyle w:val="Heading2"/>
      </w:pPr>
      <w:bookmarkStart w:id="118" w:name="_Toc523830669"/>
      <w:bookmarkStart w:id="119" w:name="_Toc526337839"/>
      <w:bookmarkStart w:id="120" w:name="_Toc526343098"/>
      <w:r>
        <w:t>Objective for the dietary exposure assessment</w:t>
      </w:r>
      <w:bookmarkEnd w:id="118"/>
      <w:bookmarkEnd w:id="119"/>
      <w:bookmarkEnd w:id="120"/>
    </w:p>
    <w:p w14:paraId="3CC197E0" w14:textId="77777777" w:rsidR="00F14CEE" w:rsidRDefault="00724574" w:rsidP="00F14CEE">
      <w:r w:rsidRPr="00F14CEE">
        <w:t>T</w:t>
      </w:r>
      <w:r w:rsidR="006013C1" w:rsidRPr="00F14CEE">
        <w:t xml:space="preserve">he objective for the dietary exposure assessment </w:t>
      </w:r>
      <w:r w:rsidR="00B46800" w:rsidRPr="00F14CEE">
        <w:t>was t</w:t>
      </w:r>
      <w:r w:rsidRPr="00F14CEE">
        <w:t xml:space="preserve">o estimate population exposure to steviol glycosides </w:t>
      </w:r>
      <w:r w:rsidR="000959EA" w:rsidRPr="00F14CEE">
        <w:t xml:space="preserve">based on </w:t>
      </w:r>
      <w:r w:rsidRPr="00F14CEE">
        <w:t xml:space="preserve">currently permitted </w:t>
      </w:r>
      <w:r w:rsidR="0002299C" w:rsidRPr="00F14CEE">
        <w:t xml:space="preserve">levels in </w:t>
      </w:r>
      <w:r w:rsidR="000959EA" w:rsidRPr="00F14CEE">
        <w:t>foods</w:t>
      </w:r>
      <w:r w:rsidR="0086489A" w:rsidRPr="00F14CEE">
        <w:t>,</w:t>
      </w:r>
      <w:r w:rsidR="000959EA" w:rsidRPr="00F14CEE">
        <w:t xml:space="preserve"> </w:t>
      </w:r>
      <w:r w:rsidRPr="00F14CEE">
        <w:t>and the proposed extension of use</w:t>
      </w:r>
      <w:r w:rsidR="00B46800" w:rsidRPr="00F14CEE">
        <w:t xml:space="preserve"> in fruit</w:t>
      </w:r>
      <w:r w:rsidR="00B46800">
        <w:t xml:space="preserve"> drinks. </w:t>
      </w:r>
      <w:bookmarkStart w:id="121" w:name="_Toc522718997"/>
      <w:bookmarkStart w:id="122" w:name="_Toc522712035"/>
      <w:bookmarkStart w:id="123" w:name="_Toc523830670"/>
    </w:p>
    <w:p w14:paraId="5CF6B4DE" w14:textId="73619776" w:rsidR="00724574" w:rsidRDefault="000C7085" w:rsidP="00F14CEE">
      <w:pPr>
        <w:pStyle w:val="Heading2"/>
        <w:numPr>
          <w:ilvl w:val="0"/>
          <w:numId w:val="0"/>
        </w:numPr>
      </w:pPr>
      <w:bookmarkStart w:id="124" w:name="_Toc526337840"/>
      <w:bookmarkStart w:id="125" w:name="_Toc526343099"/>
      <w:r>
        <w:t xml:space="preserve">4.2 </w:t>
      </w:r>
      <w:r w:rsidR="00F14CEE">
        <w:t xml:space="preserve"> </w:t>
      </w:r>
      <w:r w:rsidR="00724574">
        <w:t>Approach</w:t>
      </w:r>
      <w:bookmarkEnd w:id="121"/>
      <w:bookmarkEnd w:id="122"/>
      <w:r w:rsidR="00B86B11">
        <w:t xml:space="preserve"> to the dietary exposure assessment</w:t>
      </w:r>
      <w:bookmarkEnd w:id="123"/>
      <w:bookmarkEnd w:id="124"/>
      <w:bookmarkEnd w:id="125"/>
    </w:p>
    <w:p w14:paraId="7F859178" w14:textId="77777777" w:rsidR="00724574" w:rsidRPr="00FC1D0F" w:rsidRDefault="00724574" w:rsidP="00724574">
      <w:r>
        <w:t>Dietary exposure assessments at FSANZ are conducted using a tiered approach. The first assessment is conducted using the worst case assumptions and the least amount of resources, and refinements made following this assessment if needed.</w:t>
      </w:r>
    </w:p>
    <w:p w14:paraId="727891C2" w14:textId="77777777" w:rsidR="000959EA" w:rsidRPr="00FC1D0F" w:rsidRDefault="000959EA" w:rsidP="00724574"/>
    <w:p w14:paraId="422AAD38" w14:textId="3C4F3E43" w:rsidR="00724574" w:rsidRPr="00FE5121" w:rsidRDefault="00724574" w:rsidP="00724574">
      <w:r w:rsidRPr="00FE5121">
        <w:t xml:space="preserve">Dietary </w:t>
      </w:r>
      <w:r>
        <w:t>exposure</w:t>
      </w:r>
      <w:r w:rsidRPr="00FE5121">
        <w:t xml:space="preserve"> assessments require </w:t>
      </w:r>
      <w:r>
        <w:t xml:space="preserve">concentration </w:t>
      </w:r>
      <w:r w:rsidRPr="00FE5121">
        <w:t xml:space="preserve">data of the chemical of interest in </w:t>
      </w:r>
      <w:r>
        <w:t>food</w:t>
      </w:r>
      <w:r w:rsidRPr="00FE5121">
        <w:t xml:space="preserve">, and consumption data </w:t>
      </w:r>
      <w:r>
        <w:t>of those</w:t>
      </w:r>
      <w:r w:rsidRPr="00FE5121">
        <w:t xml:space="preserve"> foods </w:t>
      </w:r>
      <w:r>
        <w:t>collected through</w:t>
      </w:r>
      <w:r w:rsidRPr="00FE5121">
        <w:t xml:space="preserve"> national nutrition survey</w:t>
      </w:r>
      <w:r>
        <w:t>s</w:t>
      </w:r>
      <w:r w:rsidRPr="00FE5121">
        <w:t>.</w:t>
      </w:r>
      <w:r>
        <w:t xml:space="preserve"> Details of the steviol glycoside concentration data, and food consumption data used in this dietary </w:t>
      </w:r>
      <w:r>
        <w:lastRenderedPageBreak/>
        <w:t xml:space="preserve">exposure assessment are outlined below. </w:t>
      </w:r>
      <w:r w:rsidRPr="00814453">
        <w:t xml:space="preserve">The dietary </w:t>
      </w:r>
      <w:r>
        <w:t>exposure</w:t>
      </w:r>
      <w:r w:rsidRPr="00814453">
        <w:t xml:space="preserve"> assessment </w:t>
      </w:r>
      <w:r>
        <w:t xml:space="preserve">for steviol glycosides </w:t>
      </w:r>
      <w:r w:rsidRPr="00814453">
        <w:t>was undertaken using FSANZ’s die</w:t>
      </w:r>
      <w:r w:rsidR="005727F1">
        <w:t>tary modelling computer program</w:t>
      </w:r>
      <w:r w:rsidRPr="00814453">
        <w:t xml:space="preserve"> Harvest</w:t>
      </w:r>
      <w:r>
        <w:rPr>
          <w:rStyle w:val="FootnoteReference"/>
        </w:rPr>
        <w:footnoteReference w:id="2"/>
      </w:r>
      <w:r w:rsidR="005727F1">
        <w:t>, and compared to the</w:t>
      </w:r>
      <w:r w:rsidRPr="001B22B2">
        <w:t xml:space="preserve"> ADI of 0-4 mg/kg </w:t>
      </w:r>
      <w:r w:rsidR="00207F3D">
        <w:t>bw</w:t>
      </w:r>
      <w:r w:rsidRPr="001B22B2">
        <w:t>.</w:t>
      </w:r>
      <w:r>
        <w:t xml:space="preserve"> As food additive permissions in the Code apply to both Australia and New Zealand, dietary exposure </w:t>
      </w:r>
      <w:r w:rsidR="000959EA">
        <w:t>a</w:t>
      </w:r>
      <w:r>
        <w:t>ssessments were undertaken for both countries.</w:t>
      </w:r>
    </w:p>
    <w:p w14:paraId="7A44044C" w14:textId="77777777" w:rsidR="00724574" w:rsidRPr="00FE0034" w:rsidRDefault="00724574" w:rsidP="00724574"/>
    <w:p w14:paraId="1E65D857" w14:textId="633F0A68" w:rsidR="00724574" w:rsidRPr="001C5EAB" w:rsidRDefault="00724574" w:rsidP="00724574">
      <w:pPr>
        <w:rPr>
          <w:rFonts w:cs="Arial"/>
        </w:rPr>
      </w:pPr>
      <w:r w:rsidRPr="00FE0034">
        <w:rPr>
          <w:rFonts w:cs="Arial"/>
        </w:rPr>
        <w:t xml:space="preserve">A summary of the general FSANZ approach to conducting the dietary </w:t>
      </w:r>
      <w:r>
        <w:rPr>
          <w:rFonts w:cs="Arial"/>
        </w:rPr>
        <w:t xml:space="preserve">exposure </w:t>
      </w:r>
      <w:r w:rsidRPr="00FE0034">
        <w:rPr>
          <w:rFonts w:cs="Arial"/>
        </w:rPr>
        <w:t>assessment for this Application is at</w:t>
      </w:r>
      <w:r>
        <w:rPr>
          <w:rFonts w:cs="Arial"/>
        </w:rPr>
        <w:t xml:space="preserve"> Appendix 1</w:t>
      </w:r>
      <w:r w:rsidRPr="00FE0034">
        <w:rPr>
          <w:rFonts w:cs="Arial"/>
        </w:rPr>
        <w:t xml:space="preserve">. A detailed discussion of the FSANZ methodology and approach to conducting dietary </w:t>
      </w:r>
      <w:r w:rsidR="00FB0400">
        <w:rPr>
          <w:rFonts w:cs="Arial"/>
        </w:rPr>
        <w:t>exposure</w:t>
      </w:r>
      <w:r w:rsidR="00FB0400" w:rsidRPr="00FE0034">
        <w:rPr>
          <w:rFonts w:cs="Arial"/>
        </w:rPr>
        <w:t xml:space="preserve"> </w:t>
      </w:r>
      <w:r w:rsidRPr="00FE0034">
        <w:rPr>
          <w:rFonts w:cs="Arial"/>
        </w:rPr>
        <w:t xml:space="preserve">assessments is set out in </w:t>
      </w:r>
      <w:r w:rsidRPr="00FE0034">
        <w:rPr>
          <w:rFonts w:cs="Arial"/>
          <w:i/>
        </w:rPr>
        <w:t xml:space="preserve">Principles and Practices of Dietary Exposure Assessment for Food Regulatory Purposes </w:t>
      </w:r>
      <w:r>
        <w:rPr>
          <w:rFonts w:cs="Arial"/>
        </w:rPr>
        <w:t>(FSANZ 2009).</w:t>
      </w:r>
    </w:p>
    <w:p w14:paraId="4429377B" w14:textId="07DE14C1" w:rsidR="00724574" w:rsidRPr="00F33347" w:rsidRDefault="000C7085" w:rsidP="000C7085">
      <w:pPr>
        <w:pStyle w:val="Heading3"/>
      </w:pPr>
      <w:bookmarkStart w:id="126" w:name="_Toc522718998"/>
      <w:bookmarkStart w:id="127" w:name="_Toc522712036"/>
      <w:bookmarkStart w:id="128" w:name="_Toc523830671"/>
      <w:bookmarkStart w:id="129" w:name="_Toc526337841"/>
      <w:bookmarkStart w:id="130" w:name="_Toc526343100"/>
      <w:r>
        <w:t xml:space="preserve">4.2.1 </w:t>
      </w:r>
      <w:r w:rsidR="00724574" w:rsidRPr="00F33347">
        <w:t xml:space="preserve">Food consumption </w:t>
      </w:r>
      <w:r w:rsidR="00724574" w:rsidRPr="000C7085">
        <w:t>data</w:t>
      </w:r>
      <w:r w:rsidR="00724574" w:rsidRPr="00F33347">
        <w:t xml:space="preserve"> used</w:t>
      </w:r>
      <w:bookmarkEnd w:id="126"/>
      <w:bookmarkEnd w:id="127"/>
      <w:bookmarkEnd w:id="128"/>
      <w:bookmarkEnd w:id="129"/>
      <w:bookmarkEnd w:id="130"/>
    </w:p>
    <w:p w14:paraId="7C423429" w14:textId="77777777" w:rsidR="00724574" w:rsidRPr="00F33347" w:rsidRDefault="00724574" w:rsidP="00724574">
      <w:pPr>
        <w:keepNext/>
        <w:keepLines/>
      </w:pPr>
      <w:r w:rsidRPr="00F33347">
        <w:t>The food consumption data used for the dietary exposure assessments were:</w:t>
      </w:r>
    </w:p>
    <w:p w14:paraId="12D7F7DE" w14:textId="419EFBED" w:rsidR="00724574" w:rsidRPr="00F33347" w:rsidRDefault="00724574" w:rsidP="00724574">
      <w:pPr>
        <w:pStyle w:val="FSBullet1"/>
        <w:keepNext/>
        <w:keepLines/>
        <w:spacing w:before="60" w:after="120"/>
        <w:ind w:left="499" w:hanging="357"/>
      </w:pPr>
      <w:r w:rsidRPr="00F33347">
        <w:rPr>
          <w:b/>
        </w:rPr>
        <w:t>2011-12 Australian National Nutrition and Physical Activity Survey (2011-12 NNPAS)</w:t>
      </w:r>
      <w:r w:rsidR="00FB0400">
        <w:rPr>
          <w:b/>
        </w:rPr>
        <w:t>:</w:t>
      </w:r>
      <w:r w:rsidRPr="00F33347">
        <w:t xml:space="preserve"> one 24-hour food recall survey of 12,153 Australians aged 2 years and above, with a second 24-hour recall undertaken for 64% of respondents (ABS, 2014). Only those respondents who had two days of food consumption </w:t>
      </w:r>
      <w:r>
        <w:t>data (n=7,73</w:t>
      </w:r>
      <w:r w:rsidR="00260BA9">
        <w:t>5) were used in this assessment</w:t>
      </w:r>
      <w:r w:rsidR="00805A20">
        <w:t>.</w:t>
      </w:r>
    </w:p>
    <w:p w14:paraId="024CB394" w14:textId="109CD338" w:rsidR="00724574" w:rsidRPr="00F33347" w:rsidRDefault="00724574" w:rsidP="00724574">
      <w:pPr>
        <w:pStyle w:val="FSBullet1"/>
        <w:spacing w:after="120"/>
        <w:ind w:left="499" w:hanging="357"/>
      </w:pPr>
      <w:r w:rsidRPr="00F33347">
        <w:rPr>
          <w:b/>
        </w:rPr>
        <w:t>2008–09 New Zealand Adult Nutrition Survey (2008 NZ ANS):</w:t>
      </w:r>
      <w:r w:rsidRPr="00F33347">
        <w:t xml:space="preserve"> </w:t>
      </w:r>
      <w:r w:rsidR="00FB0400">
        <w:t>one</w:t>
      </w:r>
      <w:r w:rsidRPr="00F33347">
        <w:t xml:space="preserve"> 24-hour recall of 4,721 New Zealanders aged 15 years and above, with a second 24-hour recall undertaken for 25% of respondents. </w:t>
      </w:r>
      <w:r w:rsidRPr="00F33347">
        <w:fldChar w:fldCharType="begin"/>
      </w:r>
      <w:r w:rsidRPr="00F33347">
        <w:instrText xml:space="preserve"> ADDIN REFMGR.CITE &lt;Refman&gt;&lt;Cite&gt;&lt;Author&gt;Ministry of Health&lt;/Author&gt;&lt;Year&gt;2011&lt;/Year&gt;&lt;RecNum&gt;23&lt;/RecNum&gt;&lt;IDText&gt;Methodology report for the 2008/09 New Zealand Adult Nutrition Survey&lt;/IDText&gt;&lt;MDL Ref_Type="Report"&gt;&lt;Ref_Type&gt;Report&lt;/Ref_Type&gt;&lt;Ref_ID&gt;23&lt;/Ref_ID&gt;&lt;Title_Primary&gt;Methodology report for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978-0-478-37337-0&lt;/f&gt;&lt;/ISSN_ISBN&gt;&lt;ZZ_WorkformID&gt;24&lt;/ZZ_WorkformID&gt;&lt;/MDL&gt;&lt;/Cite&gt;&lt;Cite&gt;&lt;Author&gt;Ministry of Health&lt;/Author&gt;&lt;Year&gt;2011&lt;/Year&gt;&lt;RecNum&gt;24&lt;/RecNum&gt;&lt;IDText&gt;A focus on nutrition: Key findings of the 2008/09 New Zealand Adult Nutrition Survey&lt;/IDText&gt;&lt;MDL Ref_Type="Report"&gt;&lt;Ref_Type&gt;Report&lt;/Ref_Type&gt;&lt;Ref_ID&gt;24&lt;/Ref_ID&gt;&lt;Title_Primary&gt;A focus on nutrition: Key findings of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978-0-478-37348-6 (online)&lt;/f&gt;&lt;/ISSN_ISBN&gt;&lt;ZZ_WorkformID&gt;24&lt;/ZZ_WorkformID&gt;&lt;/MDL&gt;&lt;/Cite&gt;&lt;/Refman&gt;</w:instrText>
      </w:r>
      <w:r w:rsidRPr="00F33347">
        <w:fldChar w:fldCharType="separate"/>
      </w:r>
      <w:r w:rsidRPr="00F33347">
        <w:rPr>
          <w:noProof/>
        </w:rPr>
        <w:t>(Ministry of Health 2011a; Ministry of Health 2011b)</w:t>
      </w:r>
      <w:r w:rsidRPr="00F33347">
        <w:fldChar w:fldCharType="end"/>
      </w:r>
      <w:r w:rsidRPr="00F33347">
        <w:t>. Only the first day of food consumption data was used in this assessment.</w:t>
      </w:r>
    </w:p>
    <w:p w14:paraId="5391E385" w14:textId="53666278" w:rsidR="00724574" w:rsidRPr="00F33347" w:rsidRDefault="00724574" w:rsidP="00724574">
      <w:pPr>
        <w:pStyle w:val="FSBullet1"/>
        <w:spacing w:after="120"/>
        <w:ind w:left="499" w:hanging="357"/>
      </w:pPr>
      <w:r w:rsidRPr="00F33347">
        <w:rPr>
          <w:b/>
        </w:rPr>
        <w:t>2002 New Zealand National Children’s Nutrition Survey (2002 NZ CNS)</w:t>
      </w:r>
      <w:r w:rsidR="00FB0400">
        <w:rPr>
          <w:b/>
        </w:rPr>
        <w:t>:</w:t>
      </w:r>
      <w:r w:rsidRPr="00F33347">
        <w:t xml:space="preserve"> one 24-hour food recall covering 3,275 New Zealand school children aged 5-14 years, </w:t>
      </w:r>
      <w:r w:rsidRPr="00F33347">
        <w:rPr>
          <w:lang w:eastAsia="en-AU"/>
        </w:rPr>
        <w:t xml:space="preserve">with 25% of respondents also completing a second 24-hour recall. </w:t>
      </w:r>
      <w:r w:rsidRPr="00F33347">
        <w:t>Only the first day of food consumption data was used in this assessment.</w:t>
      </w:r>
    </w:p>
    <w:p w14:paraId="1ED24C59" w14:textId="12B1E097" w:rsidR="00724574" w:rsidRPr="00F33347" w:rsidRDefault="00724574" w:rsidP="00724574">
      <w:r w:rsidRPr="00633236">
        <w:t xml:space="preserve">Dietary </w:t>
      </w:r>
      <w:r>
        <w:t>exposure</w:t>
      </w:r>
      <w:r w:rsidRPr="00633236">
        <w:t xml:space="preserve"> assessments based on food consumption data from national nutrition surveys provide the best estimation of actual consumption of a food and the resulting estimated dietary </w:t>
      </w:r>
      <w:r>
        <w:t>exposure</w:t>
      </w:r>
      <w:r w:rsidRPr="00633236">
        <w:t xml:space="preserve"> for the Australian and New Zealand populations</w:t>
      </w:r>
      <w:r>
        <w:t>.</w:t>
      </w:r>
      <w:r w:rsidRPr="00F33347">
        <w:t xml:space="preserve"> The design of these nutrition surveys and the key attributes, including survey limitations, are set out in Appendix 1.</w:t>
      </w:r>
    </w:p>
    <w:p w14:paraId="04C7B373" w14:textId="77777777" w:rsidR="00724574" w:rsidRPr="00F33347" w:rsidRDefault="00724574" w:rsidP="00724574"/>
    <w:p w14:paraId="7C3BF055" w14:textId="6069993D" w:rsidR="00724574" w:rsidRPr="00F33347" w:rsidRDefault="00724574" w:rsidP="00724574">
      <w:r w:rsidRPr="00F33347">
        <w:rPr>
          <w:rFonts w:cs="Arial"/>
          <w:iCs/>
        </w:rPr>
        <w:t xml:space="preserve">One day of food consumption data </w:t>
      </w:r>
      <w:r>
        <w:rPr>
          <w:rFonts w:cs="Arial"/>
          <w:iCs/>
        </w:rPr>
        <w:t>for</w:t>
      </w:r>
      <w:r w:rsidRPr="00F33347">
        <w:rPr>
          <w:rFonts w:cs="Arial"/>
          <w:iCs/>
        </w:rPr>
        <w:t xml:space="preserve"> </w:t>
      </w:r>
      <w:r>
        <w:rPr>
          <w:rFonts w:cs="Arial"/>
          <w:iCs/>
        </w:rPr>
        <w:t xml:space="preserve">each </w:t>
      </w:r>
      <w:r w:rsidRPr="00F33347">
        <w:rPr>
          <w:rFonts w:cs="Arial"/>
          <w:iCs/>
        </w:rPr>
        <w:t xml:space="preserve">of the NZ surveys were used for the dietary exposure assessment whereas the average of two days of data from the 2011-12 NNPAS was used for Australia. </w:t>
      </w:r>
      <w:r w:rsidR="00260BA9">
        <w:rPr>
          <w:rFonts w:cs="Arial"/>
          <w:iCs/>
        </w:rPr>
        <w:t xml:space="preserve">This was due to the proportion of respondents with a second day of data and the availability of sample weights for the two day sample. </w:t>
      </w:r>
      <w:r w:rsidRPr="00F33347">
        <w:rPr>
          <w:rFonts w:cs="Arial"/>
          <w:iCs/>
        </w:rPr>
        <w:t>The two day average exposures better reflect longer term estimates of dietary exposure and therefore are a better estimate of chronic dietary exposure</w:t>
      </w:r>
      <w:r w:rsidRPr="00F33347">
        <w:rPr>
          <w:rFonts w:cs="Arial"/>
          <w:iCs/>
          <w:sz w:val="24"/>
        </w:rPr>
        <w:t>.</w:t>
      </w:r>
    </w:p>
    <w:p w14:paraId="227FD781" w14:textId="77777777" w:rsidR="00724574" w:rsidRPr="00F33347" w:rsidRDefault="00724574" w:rsidP="00724574"/>
    <w:p w14:paraId="1D7B35A0" w14:textId="23087DAE" w:rsidR="00724574" w:rsidRPr="00611E37" w:rsidRDefault="00724574" w:rsidP="00724574">
      <w:r w:rsidRPr="00F33347">
        <w:t xml:space="preserve">The hazard identification and characterisation did not identify any population sub-groups </w:t>
      </w:r>
      <w:r>
        <w:t xml:space="preserve">with </w:t>
      </w:r>
      <w:r w:rsidRPr="001A58C5">
        <w:t xml:space="preserve">specific safety considerations in relation to dietary exposure to steviol glycosides. </w:t>
      </w:r>
      <w:r w:rsidR="003F2A00">
        <w:t xml:space="preserve">In addition, </w:t>
      </w:r>
      <w:r w:rsidR="00E13BC0">
        <w:t>t</w:t>
      </w:r>
      <w:r w:rsidR="00E13BC0" w:rsidRPr="001A58C5">
        <w:t>he food categories in which steviol glycosides are currently permitted</w:t>
      </w:r>
      <w:r w:rsidR="00E13BC0">
        <w:t>,</w:t>
      </w:r>
      <w:r w:rsidR="00E13BC0" w:rsidRPr="001A58C5">
        <w:t xml:space="preserve"> and the category </w:t>
      </w:r>
      <w:r w:rsidR="00666C29">
        <w:t>fruit drinks</w:t>
      </w:r>
      <w:r w:rsidR="00E13BC0" w:rsidRPr="001A58C5">
        <w:t xml:space="preserve"> for which the applicant seeks an extension of use</w:t>
      </w:r>
      <w:r w:rsidR="003F2A00">
        <w:t>,</w:t>
      </w:r>
      <w:r w:rsidR="00E13BC0" w:rsidRPr="001A58C5">
        <w:t xml:space="preserve"> </w:t>
      </w:r>
      <w:r w:rsidR="003F2A00">
        <w:t>are</w:t>
      </w:r>
      <w:r w:rsidR="00E13BC0" w:rsidRPr="001A58C5">
        <w:t xml:space="preserve"> consumed by </w:t>
      </w:r>
      <w:r w:rsidR="00E13BC0">
        <w:t>all</w:t>
      </w:r>
      <w:r w:rsidR="00E13BC0" w:rsidRPr="001A58C5">
        <w:t xml:space="preserve"> of the Australi</w:t>
      </w:r>
      <w:r w:rsidR="00E13BC0">
        <w:t>an and New Zealand populations</w:t>
      </w:r>
      <w:r w:rsidR="00E13BC0" w:rsidRPr="00D230C8">
        <w:t>.</w:t>
      </w:r>
      <w:r w:rsidR="00E13BC0">
        <w:t xml:space="preserve"> </w:t>
      </w:r>
      <w:r>
        <w:t xml:space="preserve">Therefore the dietary exposure assessments </w:t>
      </w:r>
      <w:r w:rsidR="00FB0400">
        <w:t xml:space="preserve">were conducted for the general </w:t>
      </w:r>
      <w:r>
        <w:t xml:space="preserve">Australian and New Zealand </w:t>
      </w:r>
      <w:r w:rsidR="00FB0400">
        <w:t>populations based on the dietary survey data available</w:t>
      </w:r>
      <w:r>
        <w:t xml:space="preserve">. These age groups, along with the number of respondents of each </w:t>
      </w:r>
      <w:r w:rsidRPr="00611E37">
        <w:t xml:space="preserve">survey are listed in </w:t>
      </w:r>
      <w:r w:rsidR="00140EF0">
        <w:t xml:space="preserve">Table </w:t>
      </w:r>
      <w:r w:rsidR="000279AC">
        <w:t>3</w:t>
      </w:r>
      <w:r w:rsidR="00F926D3">
        <w:t>.</w:t>
      </w:r>
    </w:p>
    <w:p w14:paraId="10A07482" w14:textId="77777777" w:rsidR="00724574" w:rsidRDefault="00724574" w:rsidP="00724574"/>
    <w:tbl>
      <w:tblPr>
        <w:tblStyle w:val="Table"/>
        <w:tblW w:w="5024" w:type="pct"/>
        <w:tblInd w:w="5" w:type="dxa"/>
        <w:tblLayout w:type="fixed"/>
        <w:tblLook w:val="04A0" w:firstRow="1" w:lastRow="0" w:firstColumn="1" w:lastColumn="0" w:noHBand="0" w:noVBand="1"/>
        <w:tblCaption w:val="Table 3 Population groups used in the dietary exposure assessment"/>
        <w:tblDescription w:val="Table 3 contains a summary of the number of respondents for Day 1 of the New Zealand National Nutrition Surveys for Adults and Children, andthe number of respondents with 2 days of survey data for the Australian National Nutrition Survey (2011-12 NNPAS)."/>
      </w:tblPr>
      <w:tblGrid>
        <w:gridCol w:w="1554"/>
        <w:gridCol w:w="1843"/>
        <w:gridCol w:w="1526"/>
        <w:gridCol w:w="2018"/>
        <w:gridCol w:w="2173"/>
      </w:tblGrid>
      <w:tr w:rsidR="00724574" w:rsidRPr="001A58C5" w14:paraId="4956F986" w14:textId="77777777" w:rsidTr="008E7BE8">
        <w:trPr>
          <w:cnfStyle w:val="100000000000" w:firstRow="1" w:lastRow="0" w:firstColumn="0" w:lastColumn="0" w:oddVBand="0" w:evenVBand="0" w:oddHBand="0" w:evenHBand="0" w:firstRowFirstColumn="0" w:firstRowLastColumn="0" w:lastRowFirstColumn="0" w:lastRowLastColumn="0"/>
        </w:trPr>
        <w:tc>
          <w:tcPr>
            <w:tcW w:w="853" w:type="pct"/>
          </w:tcPr>
          <w:p w14:paraId="4CC16FC2" w14:textId="2B42E99D" w:rsidR="00724574" w:rsidRPr="001A58C5" w:rsidRDefault="0002299C" w:rsidP="0032102D">
            <w:pPr>
              <w:keepNext/>
              <w:keepLines/>
              <w:spacing w:before="60" w:after="60"/>
              <w:ind w:left="25" w:right="0"/>
              <w:rPr>
                <w:rFonts w:cs="Arial"/>
                <w:bCs/>
                <w:szCs w:val="20"/>
              </w:rPr>
            </w:pPr>
            <w:bookmarkStart w:id="131" w:name="_Ref522780514"/>
            <w:bookmarkStart w:id="132" w:name="_Ref522780502"/>
            <w:r>
              <w:lastRenderedPageBreak/>
              <w:t xml:space="preserve">Table </w:t>
            </w:r>
            <w:bookmarkEnd w:id="131"/>
            <w:r w:rsidR="000279AC">
              <w:t>3</w:t>
            </w:r>
            <w:r w:rsidRPr="00486A45">
              <w:t xml:space="preserve"> </w:t>
            </w:r>
            <w:r w:rsidRPr="0020549D">
              <w:rPr>
                <w:b w:val="0"/>
              </w:rPr>
              <w:t xml:space="preserve">Population groups used in the dietary exposure </w:t>
            </w:r>
            <w:r w:rsidRPr="00FC329D">
              <w:rPr>
                <w:b w:val="0"/>
              </w:rPr>
              <w:t>assessment</w:t>
            </w:r>
            <w:bookmarkEnd w:id="132"/>
            <w:r w:rsidR="00724574" w:rsidRPr="001A58C5">
              <w:rPr>
                <w:rFonts w:cs="Arial"/>
                <w:bCs/>
                <w:szCs w:val="20"/>
              </w:rPr>
              <w:t>Country</w:t>
            </w:r>
          </w:p>
        </w:tc>
        <w:tc>
          <w:tcPr>
            <w:tcW w:w="1011" w:type="pct"/>
            <w:hideMark/>
          </w:tcPr>
          <w:p w14:paraId="33E955CC" w14:textId="2999281E" w:rsidR="00724574" w:rsidRPr="001A58C5" w:rsidRDefault="00712F84" w:rsidP="00712F84">
            <w:pPr>
              <w:keepNext/>
              <w:keepLines/>
              <w:spacing w:before="60" w:after="60"/>
              <w:rPr>
                <w:rFonts w:cs="Arial"/>
                <w:bCs/>
                <w:szCs w:val="20"/>
              </w:rPr>
            </w:pPr>
            <w:r>
              <w:rPr>
                <w:rFonts w:cs="Arial"/>
                <w:bCs/>
                <w:szCs w:val="20"/>
              </w:rPr>
              <w:t>Nutrition s</w:t>
            </w:r>
            <w:r w:rsidR="00724574" w:rsidRPr="001A58C5">
              <w:rPr>
                <w:rFonts w:cs="Arial"/>
                <w:bCs/>
                <w:szCs w:val="20"/>
              </w:rPr>
              <w:t>urvey</w:t>
            </w:r>
          </w:p>
        </w:tc>
        <w:tc>
          <w:tcPr>
            <w:tcW w:w="837" w:type="pct"/>
            <w:hideMark/>
          </w:tcPr>
          <w:p w14:paraId="198D314D" w14:textId="77777777" w:rsidR="00724574" w:rsidRPr="001A58C5" w:rsidRDefault="00724574" w:rsidP="0032102D">
            <w:pPr>
              <w:keepNext/>
              <w:keepLines/>
              <w:spacing w:before="60" w:after="60"/>
              <w:rPr>
                <w:rFonts w:cs="Arial"/>
                <w:bCs/>
                <w:szCs w:val="20"/>
              </w:rPr>
            </w:pPr>
            <w:r w:rsidRPr="001A58C5">
              <w:rPr>
                <w:rFonts w:cs="Arial"/>
                <w:bCs/>
                <w:szCs w:val="20"/>
              </w:rPr>
              <w:t>Age group</w:t>
            </w:r>
          </w:p>
        </w:tc>
        <w:tc>
          <w:tcPr>
            <w:tcW w:w="1107" w:type="pct"/>
            <w:hideMark/>
          </w:tcPr>
          <w:p w14:paraId="58A927AB" w14:textId="77777777" w:rsidR="00724574" w:rsidRPr="001A58C5" w:rsidRDefault="00724574" w:rsidP="0032102D">
            <w:pPr>
              <w:keepNext/>
              <w:keepLines/>
              <w:spacing w:before="60" w:after="60"/>
              <w:ind w:left="30" w:right="-21"/>
              <w:jc w:val="center"/>
              <w:rPr>
                <w:rFonts w:cs="Arial"/>
                <w:bCs/>
                <w:szCs w:val="20"/>
              </w:rPr>
            </w:pPr>
            <w:r w:rsidRPr="001A58C5">
              <w:rPr>
                <w:rFonts w:cs="Arial"/>
                <w:bCs/>
                <w:szCs w:val="20"/>
              </w:rPr>
              <w:t>No. respondents (Day 1 only)</w:t>
            </w:r>
          </w:p>
        </w:tc>
        <w:tc>
          <w:tcPr>
            <w:tcW w:w="1192" w:type="pct"/>
          </w:tcPr>
          <w:p w14:paraId="6C63BD02" w14:textId="77777777" w:rsidR="00724574" w:rsidRPr="001A58C5" w:rsidRDefault="00724574" w:rsidP="0032102D">
            <w:pPr>
              <w:keepNext/>
              <w:keepLines/>
              <w:spacing w:before="60" w:after="60"/>
              <w:jc w:val="center"/>
              <w:rPr>
                <w:rFonts w:cs="Arial"/>
                <w:bCs/>
                <w:szCs w:val="20"/>
              </w:rPr>
            </w:pPr>
            <w:r w:rsidRPr="001A58C5">
              <w:rPr>
                <w:rFonts w:cs="Arial"/>
                <w:bCs/>
                <w:szCs w:val="20"/>
              </w:rPr>
              <w:t>No. respondents (Day 1 and 2)</w:t>
            </w:r>
          </w:p>
        </w:tc>
      </w:tr>
      <w:tr w:rsidR="00724574" w:rsidRPr="001A58C5" w14:paraId="345920B3" w14:textId="77777777" w:rsidTr="008E7BE8">
        <w:trPr>
          <w:cnfStyle w:val="000000100000" w:firstRow="0" w:lastRow="0" w:firstColumn="0" w:lastColumn="0" w:oddVBand="0" w:evenVBand="0" w:oddHBand="1" w:evenHBand="0" w:firstRowFirstColumn="0" w:firstRowLastColumn="0" w:lastRowFirstColumn="0" w:lastRowLastColumn="0"/>
          <w:trHeight w:val="283"/>
        </w:trPr>
        <w:tc>
          <w:tcPr>
            <w:tcW w:w="853" w:type="pct"/>
          </w:tcPr>
          <w:p w14:paraId="28AF7700" w14:textId="77777777" w:rsidR="00724574" w:rsidRPr="001A58C5" w:rsidRDefault="00724574" w:rsidP="0032102D">
            <w:pPr>
              <w:keepNext/>
              <w:keepLines/>
              <w:spacing w:before="60" w:after="60"/>
              <w:ind w:left="25"/>
              <w:rPr>
                <w:rFonts w:cs="Arial"/>
                <w:b/>
                <w:color w:val="000000"/>
                <w:szCs w:val="20"/>
              </w:rPr>
            </w:pPr>
            <w:r w:rsidRPr="001A58C5">
              <w:rPr>
                <w:rFonts w:cs="Arial"/>
                <w:b/>
                <w:color w:val="000000"/>
                <w:szCs w:val="20"/>
              </w:rPr>
              <w:t>Australia</w:t>
            </w:r>
          </w:p>
        </w:tc>
        <w:tc>
          <w:tcPr>
            <w:tcW w:w="1011" w:type="pct"/>
          </w:tcPr>
          <w:p w14:paraId="6E75155C" w14:textId="77777777" w:rsidR="00724574" w:rsidRPr="001A58C5" w:rsidRDefault="00724574" w:rsidP="0032102D">
            <w:pPr>
              <w:keepNext/>
              <w:keepLines/>
              <w:spacing w:before="60" w:after="60"/>
              <w:rPr>
                <w:rFonts w:cs="Arial"/>
                <w:color w:val="000000"/>
                <w:szCs w:val="20"/>
              </w:rPr>
            </w:pPr>
            <w:r w:rsidRPr="001A58C5">
              <w:rPr>
                <w:rFonts w:cs="Arial"/>
                <w:color w:val="000000"/>
                <w:szCs w:val="20"/>
              </w:rPr>
              <w:t>2011-12 NNPAS</w:t>
            </w:r>
          </w:p>
        </w:tc>
        <w:tc>
          <w:tcPr>
            <w:tcW w:w="837" w:type="pct"/>
          </w:tcPr>
          <w:p w14:paraId="1CC16CE0" w14:textId="77777777" w:rsidR="00724574" w:rsidRPr="001A58C5" w:rsidRDefault="00724574" w:rsidP="0032102D">
            <w:pPr>
              <w:keepNext/>
              <w:keepLines/>
              <w:spacing w:before="60" w:after="60"/>
              <w:rPr>
                <w:rFonts w:cs="Arial"/>
                <w:color w:val="000000"/>
                <w:szCs w:val="20"/>
              </w:rPr>
            </w:pPr>
            <w:r w:rsidRPr="001A58C5">
              <w:rPr>
                <w:rFonts w:cs="Arial"/>
                <w:color w:val="000000"/>
                <w:szCs w:val="20"/>
              </w:rPr>
              <w:t>2 years and above</w:t>
            </w:r>
          </w:p>
        </w:tc>
        <w:tc>
          <w:tcPr>
            <w:tcW w:w="1107" w:type="pct"/>
            <w:noWrap/>
          </w:tcPr>
          <w:p w14:paraId="437A89FE" w14:textId="77777777" w:rsidR="00724574" w:rsidRPr="001A58C5" w:rsidRDefault="00724574" w:rsidP="0032102D">
            <w:pPr>
              <w:keepNext/>
              <w:keepLines/>
              <w:tabs>
                <w:tab w:val="decimal" w:pos="1182"/>
              </w:tabs>
              <w:spacing w:before="60" w:after="60"/>
              <w:rPr>
                <w:rFonts w:cs="Arial"/>
                <w:color w:val="000000"/>
                <w:szCs w:val="20"/>
              </w:rPr>
            </w:pPr>
            <w:r w:rsidRPr="001A58C5">
              <w:rPr>
                <w:rFonts w:cs="Arial"/>
                <w:color w:val="000000"/>
                <w:szCs w:val="20"/>
              </w:rPr>
              <w:t>n/a</w:t>
            </w:r>
          </w:p>
        </w:tc>
        <w:tc>
          <w:tcPr>
            <w:tcW w:w="1192" w:type="pct"/>
          </w:tcPr>
          <w:p w14:paraId="4F0CAD17" w14:textId="77777777" w:rsidR="00724574" w:rsidRPr="001A58C5" w:rsidRDefault="00724574" w:rsidP="0032102D">
            <w:pPr>
              <w:keepNext/>
              <w:keepLines/>
              <w:tabs>
                <w:tab w:val="decimal" w:pos="1100"/>
              </w:tabs>
              <w:spacing w:before="60" w:after="60"/>
              <w:rPr>
                <w:rFonts w:cs="Arial"/>
                <w:color w:val="000000"/>
                <w:szCs w:val="20"/>
              </w:rPr>
            </w:pPr>
            <w:r w:rsidRPr="001A58C5">
              <w:rPr>
                <w:rFonts w:cs="Arial"/>
                <w:color w:val="000000"/>
                <w:szCs w:val="20"/>
              </w:rPr>
              <w:t>7,735</w:t>
            </w:r>
          </w:p>
        </w:tc>
      </w:tr>
      <w:tr w:rsidR="00724574" w:rsidRPr="001A58C5" w14:paraId="08DD40DD" w14:textId="77777777" w:rsidTr="008E7BE8">
        <w:trPr>
          <w:cnfStyle w:val="000000010000" w:firstRow="0" w:lastRow="0" w:firstColumn="0" w:lastColumn="0" w:oddVBand="0" w:evenVBand="0" w:oddHBand="0" w:evenHBand="1" w:firstRowFirstColumn="0" w:firstRowLastColumn="0" w:lastRowFirstColumn="0" w:lastRowLastColumn="0"/>
          <w:trHeight w:val="283"/>
        </w:trPr>
        <w:tc>
          <w:tcPr>
            <w:tcW w:w="853" w:type="pct"/>
          </w:tcPr>
          <w:p w14:paraId="5A484898" w14:textId="77777777" w:rsidR="00724574" w:rsidRPr="001A58C5" w:rsidRDefault="00724574" w:rsidP="0032102D">
            <w:pPr>
              <w:keepNext/>
              <w:keepLines/>
              <w:spacing w:before="60" w:after="60"/>
              <w:ind w:left="25"/>
              <w:rPr>
                <w:rFonts w:cs="Arial"/>
                <w:b/>
                <w:color w:val="000000"/>
                <w:szCs w:val="20"/>
              </w:rPr>
            </w:pPr>
            <w:r w:rsidRPr="001A58C5">
              <w:rPr>
                <w:rFonts w:cs="Arial"/>
                <w:b/>
                <w:color w:val="000000"/>
                <w:szCs w:val="20"/>
              </w:rPr>
              <w:t>New Zealand</w:t>
            </w:r>
          </w:p>
        </w:tc>
        <w:tc>
          <w:tcPr>
            <w:tcW w:w="1011" w:type="pct"/>
            <w:hideMark/>
          </w:tcPr>
          <w:p w14:paraId="2215D9B2" w14:textId="77777777" w:rsidR="00724574" w:rsidRPr="001A58C5" w:rsidRDefault="00724574" w:rsidP="0032102D">
            <w:pPr>
              <w:keepNext/>
              <w:keepLines/>
              <w:spacing w:before="60" w:after="60"/>
              <w:rPr>
                <w:rFonts w:cs="Arial"/>
                <w:color w:val="000000"/>
                <w:szCs w:val="20"/>
              </w:rPr>
            </w:pPr>
            <w:r w:rsidRPr="001A58C5">
              <w:rPr>
                <w:rFonts w:cs="Arial"/>
                <w:color w:val="000000"/>
                <w:szCs w:val="20"/>
              </w:rPr>
              <w:t>2002 NZ CNS</w:t>
            </w:r>
          </w:p>
        </w:tc>
        <w:tc>
          <w:tcPr>
            <w:tcW w:w="837" w:type="pct"/>
            <w:hideMark/>
          </w:tcPr>
          <w:p w14:paraId="3B4D3969" w14:textId="77777777" w:rsidR="00724574" w:rsidRPr="001A58C5" w:rsidRDefault="00724574" w:rsidP="0032102D">
            <w:pPr>
              <w:keepNext/>
              <w:keepLines/>
              <w:spacing w:before="60" w:after="60"/>
              <w:rPr>
                <w:rFonts w:cs="Arial"/>
                <w:color w:val="000000"/>
                <w:szCs w:val="20"/>
              </w:rPr>
            </w:pPr>
            <w:r w:rsidRPr="001A58C5">
              <w:rPr>
                <w:rFonts w:cs="Arial"/>
                <w:color w:val="000000"/>
                <w:szCs w:val="20"/>
              </w:rPr>
              <w:t>5 – 14 years</w:t>
            </w:r>
          </w:p>
        </w:tc>
        <w:tc>
          <w:tcPr>
            <w:tcW w:w="1107" w:type="pct"/>
            <w:noWrap/>
            <w:hideMark/>
          </w:tcPr>
          <w:p w14:paraId="1CA05062" w14:textId="77777777" w:rsidR="00724574" w:rsidRPr="001A58C5" w:rsidRDefault="00724574" w:rsidP="0032102D">
            <w:pPr>
              <w:keepNext/>
              <w:keepLines/>
              <w:tabs>
                <w:tab w:val="decimal" w:pos="1182"/>
              </w:tabs>
              <w:spacing w:before="60" w:after="60"/>
              <w:rPr>
                <w:rFonts w:cs="Arial"/>
                <w:color w:val="000000"/>
                <w:szCs w:val="20"/>
              </w:rPr>
            </w:pPr>
            <w:r w:rsidRPr="001A58C5">
              <w:rPr>
                <w:rFonts w:cs="Arial"/>
                <w:color w:val="000000"/>
                <w:szCs w:val="20"/>
              </w:rPr>
              <w:t>3,275</w:t>
            </w:r>
          </w:p>
        </w:tc>
        <w:tc>
          <w:tcPr>
            <w:tcW w:w="1192" w:type="pct"/>
          </w:tcPr>
          <w:p w14:paraId="4D386DE8" w14:textId="77777777" w:rsidR="00724574" w:rsidRPr="001A58C5" w:rsidRDefault="00724574" w:rsidP="0032102D">
            <w:pPr>
              <w:keepNext/>
              <w:keepLines/>
              <w:tabs>
                <w:tab w:val="decimal" w:pos="1100"/>
              </w:tabs>
              <w:spacing w:before="60" w:after="60"/>
              <w:rPr>
                <w:rFonts w:cs="Arial"/>
                <w:color w:val="000000"/>
                <w:szCs w:val="20"/>
              </w:rPr>
            </w:pPr>
            <w:r w:rsidRPr="001A58C5">
              <w:rPr>
                <w:rFonts w:cs="Arial"/>
                <w:color w:val="000000"/>
                <w:szCs w:val="20"/>
              </w:rPr>
              <w:t>n/a</w:t>
            </w:r>
          </w:p>
        </w:tc>
      </w:tr>
      <w:tr w:rsidR="00724574" w:rsidRPr="001A58C5" w14:paraId="1DDB2E5B" w14:textId="77777777" w:rsidTr="008E7BE8">
        <w:trPr>
          <w:cnfStyle w:val="000000100000" w:firstRow="0" w:lastRow="0" w:firstColumn="0" w:lastColumn="0" w:oddVBand="0" w:evenVBand="0" w:oddHBand="1" w:evenHBand="0" w:firstRowFirstColumn="0" w:firstRowLastColumn="0" w:lastRowFirstColumn="0" w:lastRowLastColumn="0"/>
          <w:trHeight w:val="283"/>
        </w:trPr>
        <w:tc>
          <w:tcPr>
            <w:tcW w:w="853" w:type="pct"/>
          </w:tcPr>
          <w:p w14:paraId="2B0E211F" w14:textId="77777777" w:rsidR="00724574" w:rsidRPr="001A58C5" w:rsidRDefault="00724574" w:rsidP="0032102D">
            <w:pPr>
              <w:keepNext/>
              <w:keepLines/>
              <w:spacing w:before="60" w:after="60"/>
              <w:ind w:left="25"/>
              <w:rPr>
                <w:rFonts w:cs="Arial"/>
                <w:b/>
                <w:color w:val="000000"/>
                <w:szCs w:val="20"/>
              </w:rPr>
            </w:pPr>
          </w:p>
        </w:tc>
        <w:tc>
          <w:tcPr>
            <w:tcW w:w="1011" w:type="pct"/>
            <w:hideMark/>
          </w:tcPr>
          <w:p w14:paraId="58197D00" w14:textId="77777777" w:rsidR="00724574" w:rsidRPr="001A58C5" w:rsidRDefault="00724574" w:rsidP="0032102D">
            <w:pPr>
              <w:keepNext/>
              <w:keepLines/>
              <w:spacing w:before="60" w:after="60"/>
              <w:rPr>
                <w:rFonts w:cs="Arial"/>
                <w:color w:val="000000"/>
                <w:szCs w:val="20"/>
              </w:rPr>
            </w:pPr>
            <w:r w:rsidRPr="001A58C5">
              <w:rPr>
                <w:rFonts w:cs="Arial"/>
                <w:color w:val="000000"/>
                <w:szCs w:val="20"/>
              </w:rPr>
              <w:t>2008 NZ ANS</w:t>
            </w:r>
          </w:p>
        </w:tc>
        <w:tc>
          <w:tcPr>
            <w:tcW w:w="837" w:type="pct"/>
            <w:hideMark/>
          </w:tcPr>
          <w:p w14:paraId="64DD4190" w14:textId="77777777" w:rsidR="00724574" w:rsidRPr="001A58C5" w:rsidRDefault="00724574" w:rsidP="0032102D">
            <w:pPr>
              <w:keepNext/>
              <w:keepLines/>
              <w:spacing w:before="60" w:after="60"/>
              <w:rPr>
                <w:rFonts w:cs="Arial"/>
                <w:color w:val="000000"/>
                <w:szCs w:val="20"/>
              </w:rPr>
            </w:pPr>
            <w:r w:rsidRPr="001A58C5">
              <w:rPr>
                <w:rFonts w:cs="Arial"/>
                <w:color w:val="000000"/>
                <w:szCs w:val="20"/>
              </w:rPr>
              <w:t>15 years and above</w:t>
            </w:r>
          </w:p>
        </w:tc>
        <w:tc>
          <w:tcPr>
            <w:tcW w:w="1107" w:type="pct"/>
            <w:noWrap/>
            <w:hideMark/>
          </w:tcPr>
          <w:p w14:paraId="172925FB" w14:textId="77777777" w:rsidR="00724574" w:rsidRPr="001A58C5" w:rsidRDefault="00724574" w:rsidP="0032102D">
            <w:pPr>
              <w:keepNext/>
              <w:keepLines/>
              <w:tabs>
                <w:tab w:val="decimal" w:pos="1182"/>
              </w:tabs>
              <w:spacing w:before="60" w:after="60"/>
              <w:rPr>
                <w:rFonts w:cs="Arial"/>
                <w:color w:val="000000"/>
                <w:szCs w:val="20"/>
              </w:rPr>
            </w:pPr>
            <w:r w:rsidRPr="001A58C5">
              <w:rPr>
                <w:rFonts w:cs="Arial"/>
                <w:color w:val="000000"/>
                <w:szCs w:val="20"/>
              </w:rPr>
              <w:t>4,721</w:t>
            </w:r>
          </w:p>
        </w:tc>
        <w:tc>
          <w:tcPr>
            <w:tcW w:w="1192" w:type="pct"/>
          </w:tcPr>
          <w:p w14:paraId="20A2BA8B" w14:textId="77777777" w:rsidR="00724574" w:rsidRPr="001A58C5" w:rsidRDefault="00724574" w:rsidP="0032102D">
            <w:pPr>
              <w:keepNext/>
              <w:keepLines/>
              <w:tabs>
                <w:tab w:val="decimal" w:pos="1100"/>
              </w:tabs>
              <w:spacing w:before="60" w:after="60"/>
              <w:rPr>
                <w:rFonts w:cs="Arial"/>
                <w:color w:val="000000"/>
                <w:szCs w:val="20"/>
              </w:rPr>
            </w:pPr>
            <w:r w:rsidRPr="001A58C5">
              <w:rPr>
                <w:rFonts w:cs="Arial"/>
                <w:color w:val="000000"/>
                <w:szCs w:val="20"/>
              </w:rPr>
              <w:t>n/a</w:t>
            </w:r>
          </w:p>
        </w:tc>
      </w:tr>
    </w:tbl>
    <w:p w14:paraId="7C8E13F3" w14:textId="77777777" w:rsidR="00724574" w:rsidRDefault="00724574" w:rsidP="00724574">
      <w:pPr>
        <w:rPr>
          <w:highlight w:val="darkCyan"/>
        </w:rPr>
      </w:pPr>
    </w:p>
    <w:p w14:paraId="71A048A3" w14:textId="402E4D84" w:rsidR="00724574" w:rsidRDefault="004A36C3" w:rsidP="000C7085">
      <w:pPr>
        <w:pStyle w:val="Heading3"/>
      </w:pPr>
      <w:bookmarkStart w:id="133" w:name="_Toc522718999"/>
      <w:bookmarkStart w:id="134" w:name="_Toc522712037"/>
      <w:bookmarkStart w:id="135" w:name="_Toc523830672"/>
      <w:bookmarkStart w:id="136" w:name="_Toc526337842"/>
      <w:bookmarkStart w:id="137" w:name="_Toc526343101"/>
      <w:r>
        <w:t xml:space="preserve">4.2.2 </w:t>
      </w:r>
      <w:r w:rsidR="00724574">
        <w:t>Estimat</w:t>
      </w:r>
      <w:r w:rsidR="00E91F4D">
        <w:t>ing</w:t>
      </w:r>
      <w:r w:rsidR="00724574">
        <w:t xml:space="preserve"> dietary exposure to steviol glycosides</w:t>
      </w:r>
      <w:bookmarkEnd w:id="133"/>
      <w:bookmarkEnd w:id="134"/>
      <w:bookmarkEnd w:id="135"/>
      <w:bookmarkEnd w:id="136"/>
      <w:bookmarkEnd w:id="137"/>
    </w:p>
    <w:p w14:paraId="23743CD7" w14:textId="39C4E66D" w:rsidR="00724574" w:rsidRDefault="00724574" w:rsidP="00724574">
      <w:r w:rsidRPr="00D230C8">
        <w:t>Steviol glycoside</w:t>
      </w:r>
      <w:r w:rsidR="003F2A00">
        <w:t>s</w:t>
      </w:r>
      <w:r w:rsidRPr="00D230C8">
        <w:t xml:space="preserve"> dietary exposures were calculated for each individual consumer in the national nutrition surveys using their individual food consumption records. The Harvest program multiplied the specified concentrations of steviol glycoside</w:t>
      </w:r>
      <w:r w:rsidR="003F2A00">
        <w:t>s</w:t>
      </w:r>
      <w:r w:rsidRPr="00D230C8">
        <w:t xml:space="preserve"> for an individual food by the amount of the food that an individual consumed in order to estimate the exposure to steviol glycosides </w:t>
      </w:r>
      <w:r w:rsidR="004E7AFF">
        <w:t>from</w:t>
      </w:r>
      <w:r w:rsidR="004E7AFF" w:rsidRPr="00D230C8">
        <w:t xml:space="preserve"> </w:t>
      </w:r>
      <w:r w:rsidRPr="00D230C8">
        <w:t>each food. Once this had been completed for all of the foods specified to contain steviol glycosides, the total amount of steviol glycoside</w:t>
      </w:r>
      <w:r w:rsidR="003F2A00">
        <w:t>s</w:t>
      </w:r>
      <w:r w:rsidRPr="00D230C8">
        <w:t xml:space="preserve"> consumed from all foods was summed for each individual. Where results are expressed on a body weight basis, each </w:t>
      </w:r>
      <w:r w:rsidR="005727F1" w:rsidRPr="00D230C8">
        <w:t>individual’s</w:t>
      </w:r>
      <w:r w:rsidRPr="00D230C8">
        <w:t xml:space="preserve"> body weight was used. Mean and 90</w:t>
      </w:r>
      <w:r w:rsidRPr="00D230C8">
        <w:rPr>
          <w:vertAlign w:val="superscript"/>
        </w:rPr>
        <w:t>th</w:t>
      </w:r>
      <w:r w:rsidRPr="00D230C8">
        <w:t xml:space="preserve"> percentile (P90) </w:t>
      </w:r>
      <w:r w:rsidR="004E7AFF">
        <w:t xml:space="preserve">dietary </w:t>
      </w:r>
      <w:r w:rsidRPr="00D230C8">
        <w:t>exposures were then derived from the individuals’ ranked exposures. Estimated dietary exposures for the population on a body weight basis were compared to the ADI for risk characterisation purposes.</w:t>
      </w:r>
    </w:p>
    <w:p w14:paraId="3B0A0C49" w14:textId="77777777" w:rsidR="00E13BC0" w:rsidRPr="00D230C8" w:rsidRDefault="00E13BC0" w:rsidP="00724574"/>
    <w:p w14:paraId="1202087E" w14:textId="2298E849" w:rsidR="00724574" w:rsidRPr="00D42A2F" w:rsidRDefault="00724574" w:rsidP="00E85CAE">
      <w:pPr>
        <w:rPr>
          <w:rFonts w:cs="Arial"/>
        </w:rPr>
      </w:pPr>
      <w:r w:rsidRPr="00D230C8">
        <w:t xml:space="preserve">A </w:t>
      </w:r>
      <w:r w:rsidR="004E7AFF">
        <w:t xml:space="preserve">Harvest </w:t>
      </w:r>
      <w:r w:rsidRPr="00D230C8">
        <w:t>food-additive model was most appropriate for this dietary exposure assessment</w:t>
      </w:r>
      <w:r w:rsidR="004E7AFF">
        <w:t xml:space="preserve"> as nutrition survey foods consumed are grouped as per the food category codes in Schedule 15 of the Code and concentrations of steviol glycosides are assigned to these relevant codes</w:t>
      </w:r>
      <w:r w:rsidRPr="00D230C8">
        <w:t>.</w:t>
      </w:r>
      <w:r>
        <w:t xml:space="preserve"> </w:t>
      </w:r>
      <w:r w:rsidRPr="00475A5D">
        <w:rPr>
          <w:rFonts w:cs="Arial"/>
        </w:rPr>
        <w:t xml:space="preserve">The food category codes </w:t>
      </w:r>
      <w:r w:rsidRPr="00DD12D8">
        <w:rPr>
          <w:rFonts w:cs="Arial"/>
        </w:rPr>
        <w:t>in Schedule</w:t>
      </w:r>
      <w:r>
        <w:rPr>
          <w:rFonts w:cs="Arial"/>
        </w:rPr>
        <w:t xml:space="preserve"> 15 of the Code (where permission for steviol glycoside</w:t>
      </w:r>
      <w:r w:rsidR="004E7AFF">
        <w:rPr>
          <w:rFonts w:cs="Arial"/>
        </w:rPr>
        <w:t>s</w:t>
      </w:r>
      <w:r>
        <w:rPr>
          <w:rFonts w:cs="Arial"/>
        </w:rPr>
        <w:t xml:space="preserve"> are listed) in some instances vary from the codes in</w:t>
      </w:r>
      <w:r w:rsidR="00E13BC0">
        <w:rPr>
          <w:rFonts w:cs="Arial"/>
        </w:rPr>
        <w:t xml:space="preserve"> </w:t>
      </w:r>
      <w:r>
        <w:rPr>
          <w:rFonts w:cs="Arial"/>
        </w:rPr>
        <w:t>Harvest. Therefore</w:t>
      </w:r>
      <w:r w:rsidR="00B86B11">
        <w:rPr>
          <w:rFonts w:cs="Arial"/>
        </w:rPr>
        <w:t>,</w:t>
      </w:r>
      <w:r>
        <w:rPr>
          <w:rFonts w:cs="Arial"/>
        </w:rPr>
        <w:t xml:space="preserve"> to match the permissions to the specific consumption data the corresponding codes needed to be matched. The Schedule 15 food category code and the corresponding Harvest code are listed in </w:t>
      </w:r>
      <w:r w:rsidR="00140EF0">
        <w:rPr>
          <w:rFonts w:cs="Arial"/>
        </w:rPr>
        <w:t xml:space="preserve">Table </w:t>
      </w:r>
      <w:r w:rsidR="002959B8">
        <w:rPr>
          <w:rFonts w:cs="Arial"/>
        </w:rPr>
        <w:t>4</w:t>
      </w:r>
      <w:r>
        <w:rPr>
          <w:rFonts w:cs="Arial"/>
        </w:rPr>
        <w:t>.</w:t>
      </w:r>
    </w:p>
    <w:p w14:paraId="730C754E" w14:textId="30747C23" w:rsidR="00724574" w:rsidRDefault="004A36C3" w:rsidP="000C7085">
      <w:pPr>
        <w:pStyle w:val="Heading3"/>
      </w:pPr>
      <w:bookmarkStart w:id="138" w:name="_Toc522719000"/>
      <w:bookmarkStart w:id="139" w:name="_Toc522712038"/>
      <w:bookmarkStart w:id="140" w:name="_Toc523830673"/>
      <w:bookmarkStart w:id="141" w:name="_Toc526337843"/>
      <w:bookmarkStart w:id="142" w:name="_Toc526343102"/>
      <w:r>
        <w:t xml:space="preserve">4.2.3 </w:t>
      </w:r>
      <w:r w:rsidR="00724574" w:rsidRPr="00CB4677">
        <w:t>Initial estimate of baseline dietary exposure to steviol glycosides</w:t>
      </w:r>
      <w:bookmarkEnd w:id="138"/>
      <w:bookmarkEnd w:id="139"/>
      <w:bookmarkEnd w:id="140"/>
      <w:bookmarkEnd w:id="141"/>
      <w:bookmarkEnd w:id="142"/>
    </w:p>
    <w:p w14:paraId="3FFD1FA1" w14:textId="02D2DB01" w:rsidR="00724574" w:rsidRDefault="00724574" w:rsidP="00724574">
      <w:r>
        <w:t xml:space="preserve">For this application </w:t>
      </w:r>
      <w:r w:rsidR="00CD198E">
        <w:t xml:space="preserve">the </w:t>
      </w:r>
      <w:r>
        <w:t>dietary exposure assess</w:t>
      </w:r>
      <w:r w:rsidR="00CD198E">
        <w:t>ment was conducted in two tiers</w:t>
      </w:r>
      <w:r>
        <w:t>. The first dietary exposure assessment for steviol glycoside</w:t>
      </w:r>
      <w:r w:rsidR="004E7AFF">
        <w:t>s</w:t>
      </w:r>
      <w:r>
        <w:t xml:space="preserve"> was conducted using the Maximum Permitted Levels (MPLs) in the Code. This dietary exposure assessment scenario is referred to as the ‘</w:t>
      </w:r>
      <w:r w:rsidRPr="00134D3B">
        <w:rPr>
          <w:i/>
        </w:rPr>
        <w:t>Baseline’</w:t>
      </w:r>
      <w:r>
        <w:t xml:space="preserve"> </w:t>
      </w:r>
      <w:r w:rsidR="00134D3B">
        <w:t>s</w:t>
      </w:r>
      <w:r>
        <w:t>cenario.</w:t>
      </w:r>
      <w:r w:rsidRPr="00392700">
        <w:rPr>
          <w:lang w:eastAsia="en-AU"/>
        </w:rPr>
        <w:t xml:space="preserve"> </w:t>
      </w:r>
      <w:r>
        <w:t xml:space="preserve">The concentration values used for this initial assessment are listed in </w:t>
      </w:r>
      <w:r w:rsidR="00140EF0">
        <w:t xml:space="preserve">Table </w:t>
      </w:r>
      <w:r w:rsidR="000279AC">
        <w:t>4</w:t>
      </w:r>
      <w:r>
        <w:t>.</w:t>
      </w:r>
    </w:p>
    <w:p w14:paraId="6CB34BB6" w14:textId="77777777" w:rsidR="00724574" w:rsidRDefault="00724574" w:rsidP="00724574"/>
    <w:p w14:paraId="356C785C" w14:textId="0E070733" w:rsidR="00724574" w:rsidRPr="00797912" w:rsidRDefault="00724574" w:rsidP="00724574">
      <w:r>
        <w:t xml:space="preserve">Estimated dietary exposures were compared to the ADI of </w:t>
      </w:r>
      <w:r>
        <w:rPr>
          <w:lang w:eastAsia="en-AU"/>
        </w:rPr>
        <w:t>0-4</w:t>
      </w:r>
      <w:r w:rsidRPr="00CB7603">
        <w:rPr>
          <w:lang w:eastAsia="en-AU"/>
        </w:rPr>
        <w:t xml:space="preserve"> mg/kg bw</w:t>
      </w:r>
      <w:r>
        <w:rPr>
          <w:lang w:eastAsia="en-AU"/>
        </w:rPr>
        <w:t>.</w:t>
      </w:r>
      <w:r>
        <w:t xml:space="preserve"> Estimated </w:t>
      </w:r>
      <w:r w:rsidR="00134D3B" w:rsidRPr="00134D3B">
        <w:rPr>
          <w:i/>
        </w:rPr>
        <w:t>B</w:t>
      </w:r>
      <w:r w:rsidR="00CD198E" w:rsidRPr="00134D3B">
        <w:rPr>
          <w:i/>
        </w:rPr>
        <w:t>aseline</w:t>
      </w:r>
      <w:r w:rsidR="00CD198E">
        <w:t xml:space="preserve"> </w:t>
      </w:r>
      <w:r>
        <w:t>mean dietary exposure to steviol glycoside</w:t>
      </w:r>
      <w:r w:rsidR="00CD198E">
        <w:t>s</w:t>
      </w:r>
      <w:r>
        <w:t xml:space="preserve"> across all Australian and New Zealand population groups assessed ranged from </w:t>
      </w:r>
      <w:r w:rsidR="00A57601">
        <w:t>55</w:t>
      </w:r>
      <w:r w:rsidR="002C3D5D">
        <w:t>-85</w:t>
      </w:r>
      <w:r>
        <w:t>% of the ADI, and 90</w:t>
      </w:r>
      <w:r w:rsidRPr="00331BC2">
        <w:rPr>
          <w:vertAlign w:val="superscript"/>
        </w:rPr>
        <w:t>th</w:t>
      </w:r>
      <w:r>
        <w:t xml:space="preserve"> percentile exposures ranged between </w:t>
      </w:r>
      <w:r w:rsidR="00B151DA">
        <w:t>95</w:t>
      </w:r>
      <w:r>
        <w:t>-1</w:t>
      </w:r>
      <w:r w:rsidR="00B151DA">
        <w:t>6</w:t>
      </w:r>
      <w:r>
        <w:t>0% of the ADI</w:t>
      </w:r>
      <w:r w:rsidRPr="00F52616">
        <w:t xml:space="preserve"> (Appendix 2</w:t>
      </w:r>
      <w:r>
        <w:t xml:space="preserve">, Table </w:t>
      </w:r>
      <w:r w:rsidR="005727F1">
        <w:t>2.1)</w:t>
      </w:r>
      <w:r w:rsidR="00CD198E">
        <w:t xml:space="preserve">. </w:t>
      </w:r>
      <w:r>
        <w:t>The highest 90</w:t>
      </w:r>
      <w:r w:rsidRPr="00331BC2">
        <w:rPr>
          <w:vertAlign w:val="superscript"/>
        </w:rPr>
        <w:t>th</w:t>
      </w:r>
      <w:r>
        <w:t xml:space="preserve"> percentile exposure of 170% ADI was for New Zealand children 5-14 years. The exposure estimates derived from this scenario are conservative since it assumes that all foods in every category contain steviol glycosides at the MPL and the consumer will continuously (over a lifetime) </w:t>
      </w:r>
      <w:r w:rsidR="00CD198E">
        <w:t xml:space="preserve">be </w:t>
      </w:r>
      <w:r>
        <w:lastRenderedPageBreak/>
        <w:t xml:space="preserve">exposed to steviol glycosides at these levels. </w:t>
      </w:r>
      <w:r w:rsidR="00B84599">
        <w:t>This is not likely to be the case in reality.</w:t>
      </w:r>
    </w:p>
    <w:p w14:paraId="1D5222FD" w14:textId="0295B45D" w:rsidR="00724574" w:rsidRDefault="004A36C3" w:rsidP="000C7085">
      <w:pPr>
        <w:pStyle w:val="Heading3"/>
      </w:pPr>
      <w:bookmarkStart w:id="143" w:name="_Toc522719001"/>
      <w:bookmarkStart w:id="144" w:name="_Toc522712039"/>
      <w:bookmarkStart w:id="145" w:name="_Toc523830674"/>
      <w:bookmarkStart w:id="146" w:name="_Toc526337844"/>
      <w:bookmarkStart w:id="147" w:name="_Toc526343103"/>
      <w:r>
        <w:t xml:space="preserve">4.2.4 </w:t>
      </w:r>
      <w:r w:rsidR="00724574" w:rsidRPr="00CB4677">
        <w:t>Refined estimate of dietary exposure to steviol glycosides</w:t>
      </w:r>
      <w:bookmarkEnd w:id="143"/>
      <w:bookmarkEnd w:id="144"/>
      <w:bookmarkEnd w:id="145"/>
      <w:bookmarkEnd w:id="146"/>
      <w:bookmarkEnd w:id="147"/>
    </w:p>
    <w:p w14:paraId="7314F4E9" w14:textId="586C7F55" w:rsidR="00724574" w:rsidRDefault="00724574" w:rsidP="00724574">
      <w:r>
        <w:t xml:space="preserve">In order to determine a more realistic estimate of dietary exposure, more specific concentration data were required. Therefore, a </w:t>
      </w:r>
      <w:r>
        <w:rPr>
          <w:lang w:eastAsia="en-AU"/>
        </w:rPr>
        <w:t>request was made to</w:t>
      </w:r>
      <w:r w:rsidRPr="00976ED6">
        <w:rPr>
          <w:lang w:eastAsia="en-AU"/>
        </w:rPr>
        <w:t xml:space="preserve"> </w:t>
      </w:r>
      <w:r>
        <w:rPr>
          <w:lang w:eastAsia="en-AU"/>
        </w:rPr>
        <w:t xml:space="preserve">the food </w:t>
      </w:r>
      <w:r w:rsidRPr="00976ED6">
        <w:rPr>
          <w:lang w:eastAsia="en-AU"/>
        </w:rPr>
        <w:t>industry</w:t>
      </w:r>
      <w:r>
        <w:rPr>
          <w:lang w:eastAsia="en-AU"/>
        </w:rPr>
        <w:t xml:space="preserve"> in Australia and New Zealand for </w:t>
      </w:r>
      <w:r w:rsidRPr="00976ED6">
        <w:rPr>
          <w:lang w:eastAsia="en-AU"/>
        </w:rPr>
        <w:t xml:space="preserve">use levels </w:t>
      </w:r>
      <w:r>
        <w:rPr>
          <w:lang w:eastAsia="en-AU"/>
        </w:rPr>
        <w:t xml:space="preserve">of steviol glycosides. The collection of industry data </w:t>
      </w:r>
      <w:r>
        <w:t xml:space="preserve">was facilitated by the </w:t>
      </w:r>
      <w:r w:rsidR="00CD198E">
        <w:t xml:space="preserve">Applicant, the </w:t>
      </w:r>
      <w:r>
        <w:t xml:space="preserve">Australian Food &amp; Grocery Council and </w:t>
      </w:r>
      <w:r>
        <w:rPr>
          <w:lang w:val="en-NZ"/>
        </w:rPr>
        <w:t>New Zealand Food &amp; Grocery Council.</w:t>
      </w:r>
      <w:r w:rsidRPr="006C552A">
        <w:t xml:space="preserve"> </w:t>
      </w:r>
      <w:r>
        <w:t xml:space="preserve">This dietary exposure assessment scenario is referred to as the ‘Refined’ Scenario. The concentration values used for this initial assessment are listed in </w:t>
      </w:r>
      <w:r w:rsidR="00140EF0">
        <w:t>Table 3</w:t>
      </w:r>
      <w:r>
        <w:t>.</w:t>
      </w:r>
      <w:r w:rsidR="002256B8">
        <w:t xml:space="preserve"> A </w:t>
      </w:r>
      <w:r w:rsidR="001873D6">
        <w:t>‘</w:t>
      </w:r>
      <w:r w:rsidR="001873D6" w:rsidRPr="006C59BE">
        <w:rPr>
          <w:i/>
        </w:rPr>
        <w:t>R</w:t>
      </w:r>
      <w:r w:rsidR="002256B8" w:rsidRPr="006C59BE">
        <w:rPr>
          <w:i/>
        </w:rPr>
        <w:t>efined baseline</w:t>
      </w:r>
      <w:r w:rsidR="001873D6">
        <w:t>’</w:t>
      </w:r>
      <w:r w:rsidR="002256B8">
        <w:t xml:space="preserve"> assessment was undertaken as was a ‘</w:t>
      </w:r>
      <w:r w:rsidR="002256B8" w:rsidRPr="006C59BE">
        <w:rPr>
          <w:i/>
        </w:rPr>
        <w:t>Refined extension of use</w:t>
      </w:r>
      <w:r w:rsidR="002256B8">
        <w:t xml:space="preserve">’ scenario where the requested permission for fruit drinks was </w:t>
      </w:r>
      <w:r w:rsidR="001873D6">
        <w:t>also included</w:t>
      </w:r>
      <w:r w:rsidR="002256B8">
        <w:t xml:space="preserve"> and </w:t>
      </w:r>
      <w:r w:rsidR="0037053B">
        <w:t>evaluated</w:t>
      </w:r>
      <w:r w:rsidR="002256B8">
        <w:t>.</w:t>
      </w:r>
    </w:p>
    <w:p w14:paraId="060486E9" w14:textId="77777777" w:rsidR="00724574" w:rsidRPr="00FE5121" w:rsidRDefault="00724574" w:rsidP="00724574"/>
    <w:p w14:paraId="76B83A49" w14:textId="306688EE" w:rsidR="00724574" w:rsidRDefault="00724574" w:rsidP="00724574">
      <w:pPr>
        <w:rPr>
          <w:lang w:eastAsia="en-AU"/>
        </w:rPr>
      </w:pPr>
      <w:r>
        <w:rPr>
          <w:lang w:eastAsia="en-AU"/>
        </w:rPr>
        <w:t>The</w:t>
      </w:r>
      <w:r w:rsidRPr="008B0AE9">
        <w:rPr>
          <w:lang w:eastAsia="en-AU"/>
        </w:rPr>
        <w:t xml:space="preserve"> </w:t>
      </w:r>
      <w:r w:rsidRPr="006C59BE">
        <w:rPr>
          <w:i/>
          <w:lang w:eastAsia="en-AU"/>
        </w:rPr>
        <w:t>Refined</w:t>
      </w:r>
      <w:r>
        <w:rPr>
          <w:lang w:eastAsia="en-AU"/>
        </w:rPr>
        <w:t xml:space="preserve"> dietary</w:t>
      </w:r>
      <w:r w:rsidRPr="008B0AE9">
        <w:rPr>
          <w:lang w:eastAsia="en-AU"/>
        </w:rPr>
        <w:t xml:space="preserve"> exposure </w:t>
      </w:r>
      <w:r>
        <w:rPr>
          <w:lang w:eastAsia="en-AU"/>
        </w:rPr>
        <w:t>was estimated using a weighted concentration</w:t>
      </w:r>
      <w:r w:rsidR="005709C1">
        <w:rPr>
          <w:lang w:eastAsia="en-AU"/>
        </w:rPr>
        <w:t xml:space="preserve"> </w:t>
      </w:r>
      <w:r w:rsidR="001873D6">
        <w:rPr>
          <w:lang w:eastAsia="en-AU"/>
        </w:rPr>
        <w:t xml:space="preserve">of steviol glycosides </w:t>
      </w:r>
      <w:r w:rsidR="005709C1">
        <w:rPr>
          <w:lang w:eastAsia="en-AU"/>
        </w:rPr>
        <w:t>for each food</w:t>
      </w:r>
      <w:r>
        <w:rPr>
          <w:lang w:eastAsia="en-AU"/>
        </w:rPr>
        <w:t xml:space="preserve"> derived from: (1) industry use </w:t>
      </w:r>
      <w:r w:rsidR="001873D6">
        <w:rPr>
          <w:lang w:eastAsia="en-AU"/>
        </w:rPr>
        <w:t xml:space="preserve">information, </w:t>
      </w:r>
      <w:r>
        <w:rPr>
          <w:lang w:eastAsia="en-AU"/>
        </w:rPr>
        <w:t>concentration data</w:t>
      </w:r>
      <w:r w:rsidR="00F02804">
        <w:rPr>
          <w:lang w:eastAsia="en-AU"/>
        </w:rPr>
        <w:t xml:space="preserve"> (reported maximum use level)</w:t>
      </w:r>
      <w:r>
        <w:rPr>
          <w:lang w:eastAsia="en-AU"/>
        </w:rPr>
        <w:t xml:space="preserve"> and the products market share for the particular food category; market share was obtained from industry or Euromonitor</w:t>
      </w:r>
      <w:r w:rsidR="005709C1">
        <w:rPr>
          <w:lang w:eastAsia="en-AU"/>
        </w:rPr>
        <w:t xml:space="preserve"> </w:t>
      </w:r>
      <w:r w:rsidR="005709C1" w:rsidRPr="0029662D">
        <w:rPr>
          <w:lang w:eastAsia="en-AU"/>
        </w:rPr>
        <w:t>(</w:t>
      </w:r>
      <w:r w:rsidR="005709C1">
        <w:rPr>
          <w:lang w:eastAsia="en-AU"/>
        </w:rPr>
        <w:t>Euromonitor International 2018</w:t>
      </w:r>
      <w:r w:rsidR="005709C1" w:rsidRPr="0029662D">
        <w:rPr>
          <w:lang w:eastAsia="en-AU"/>
        </w:rPr>
        <w:t>)</w:t>
      </w:r>
      <w:r w:rsidR="00B84599">
        <w:rPr>
          <w:lang w:eastAsia="en-AU"/>
        </w:rPr>
        <w:t>;</w:t>
      </w:r>
      <w:r>
        <w:rPr>
          <w:lang w:eastAsia="en-AU"/>
        </w:rPr>
        <w:t xml:space="preserve"> (2) where industry data were not available</w:t>
      </w:r>
      <w:r w:rsidR="00925838">
        <w:rPr>
          <w:lang w:eastAsia="en-AU"/>
        </w:rPr>
        <w:t>,</w:t>
      </w:r>
      <w:r>
        <w:rPr>
          <w:lang w:eastAsia="en-AU"/>
        </w:rPr>
        <w:t xml:space="preserve"> or a portion of the market share unaccounted for</w:t>
      </w:r>
      <w:r w:rsidR="001873D6">
        <w:rPr>
          <w:lang w:eastAsia="en-AU"/>
        </w:rPr>
        <w:t>,</w:t>
      </w:r>
      <w:r>
        <w:rPr>
          <w:lang w:eastAsia="en-AU"/>
        </w:rPr>
        <w:t xml:space="preserve"> the MPL was used </w:t>
      </w:r>
      <w:r w:rsidR="001873D6">
        <w:rPr>
          <w:lang w:eastAsia="en-AU"/>
        </w:rPr>
        <w:t>for the whole category or the remaining portion respectively</w:t>
      </w:r>
      <w:r w:rsidR="00B84599">
        <w:rPr>
          <w:lang w:eastAsia="en-AU"/>
        </w:rPr>
        <w:t xml:space="preserve"> and</w:t>
      </w:r>
      <w:r>
        <w:rPr>
          <w:lang w:eastAsia="en-AU"/>
        </w:rPr>
        <w:t xml:space="preserve"> (3) extension of use to </w:t>
      </w:r>
      <w:r w:rsidR="00B84599">
        <w:rPr>
          <w:lang w:eastAsia="en-AU"/>
        </w:rPr>
        <w:t>f</w:t>
      </w:r>
      <w:r>
        <w:rPr>
          <w:lang w:eastAsia="en-AU"/>
        </w:rPr>
        <w:t>ruit drinks at 200</w:t>
      </w:r>
      <w:r w:rsidR="001873D6">
        <w:rPr>
          <w:lang w:eastAsia="en-AU"/>
        </w:rPr>
        <w:t> </w:t>
      </w:r>
      <w:r>
        <w:rPr>
          <w:lang w:eastAsia="en-AU"/>
        </w:rPr>
        <w:t>mg/kg.</w:t>
      </w:r>
    </w:p>
    <w:p w14:paraId="58445213" w14:textId="77777777" w:rsidR="00B84599" w:rsidRDefault="00B84599" w:rsidP="00724574">
      <w:pPr>
        <w:rPr>
          <w:lang w:eastAsia="en-AU"/>
        </w:rPr>
      </w:pPr>
    </w:p>
    <w:p w14:paraId="14A0F1B7" w14:textId="77777777" w:rsidR="00724574" w:rsidRPr="00CB4677" w:rsidRDefault="00724574" w:rsidP="00724574">
      <w:pPr>
        <w:rPr>
          <w:highlight w:val="darkCyan"/>
        </w:rPr>
        <w:sectPr w:rsidR="00724574" w:rsidRPr="00CB4677" w:rsidSect="0032102D">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9" w:footer="709" w:gutter="0"/>
          <w:cols w:space="708"/>
          <w:docGrid w:linePitch="360"/>
        </w:sectPr>
      </w:pPr>
    </w:p>
    <w:p w14:paraId="7D65C23B" w14:textId="5DD472C3" w:rsidR="00724574" w:rsidRPr="0020549D" w:rsidRDefault="00140EF0" w:rsidP="0020549D">
      <w:pPr>
        <w:pStyle w:val="FSTableFigureHeading"/>
        <w:rPr>
          <w:b w:val="0"/>
        </w:rPr>
      </w:pPr>
      <w:bookmarkStart w:id="148" w:name="_Ref522267789"/>
      <w:r>
        <w:lastRenderedPageBreak/>
        <w:t xml:space="preserve">Table </w:t>
      </w:r>
      <w:r w:rsidR="000279AC">
        <w:t>4</w:t>
      </w:r>
      <w:r w:rsidR="00724574" w:rsidRPr="001122B7">
        <w:t xml:space="preserve"> </w:t>
      </w:r>
      <w:r w:rsidR="00465B3C" w:rsidRPr="0020549D">
        <w:rPr>
          <w:b w:val="0"/>
        </w:rPr>
        <w:t>Food c</w:t>
      </w:r>
      <w:r w:rsidR="00724574" w:rsidRPr="0020549D">
        <w:rPr>
          <w:b w:val="0"/>
        </w:rPr>
        <w:t>lassifications and concentration</w:t>
      </w:r>
      <w:r w:rsidR="00CF0106" w:rsidRPr="0020549D">
        <w:rPr>
          <w:b w:val="0"/>
        </w:rPr>
        <w:t>s</w:t>
      </w:r>
      <w:r w:rsidR="00724574" w:rsidRPr="0020549D">
        <w:rPr>
          <w:b w:val="0"/>
        </w:rPr>
        <w:t xml:space="preserve"> of steviol glycosides</w:t>
      </w:r>
      <w:r w:rsidR="00465B3C" w:rsidRPr="0020549D">
        <w:rPr>
          <w:b w:val="0"/>
        </w:rPr>
        <w:t xml:space="preserve"> </w:t>
      </w:r>
      <w:r w:rsidR="00724574" w:rsidRPr="0020549D">
        <w:rPr>
          <w:b w:val="0"/>
        </w:rPr>
        <w:t xml:space="preserve">used in the dietary exposure assessment for </w:t>
      </w:r>
      <w:r w:rsidR="0020549D" w:rsidRPr="0020549D">
        <w:rPr>
          <w:b w:val="0"/>
        </w:rPr>
        <w:t>b</w:t>
      </w:r>
      <w:r w:rsidR="00724574" w:rsidRPr="0020549D">
        <w:rPr>
          <w:b w:val="0"/>
        </w:rPr>
        <w:t xml:space="preserve">aseline and </w:t>
      </w:r>
      <w:r w:rsidR="0020549D" w:rsidRPr="0020549D">
        <w:rPr>
          <w:b w:val="0"/>
        </w:rPr>
        <w:t>r</w:t>
      </w:r>
      <w:r w:rsidR="00724574" w:rsidRPr="0020549D">
        <w:rPr>
          <w:b w:val="0"/>
        </w:rPr>
        <w:t>efine</w:t>
      </w:r>
      <w:r w:rsidR="005709C1" w:rsidRPr="0020549D">
        <w:rPr>
          <w:b w:val="0"/>
        </w:rPr>
        <w:t>d</w:t>
      </w:r>
      <w:r w:rsidR="00465B3C" w:rsidRPr="0020549D">
        <w:rPr>
          <w:b w:val="0"/>
        </w:rPr>
        <w:t xml:space="preserve"> s</w:t>
      </w:r>
      <w:r w:rsidR="00724574" w:rsidRPr="0020549D">
        <w:rPr>
          <w:b w:val="0"/>
        </w:rPr>
        <w:t>cenario</w:t>
      </w:r>
      <w:r w:rsidR="00C77A77" w:rsidRPr="0020549D">
        <w:rPr>
          <w:b w:val="0"/>
        </w:rPr>
        <w:t>s</w:t>
      </w:r>
      <w:bookmarkEnd w:id="148"/>
    </w:p>
    <w:p w14:paraId="38FFE54D" w14:textId="77777777" w:rsidR="000279AC" w:rsidRPr="0020549D" w:rsidRDefault="000279AC" w:rsidP="002959B8"/>
    <w:tbl>
      <w:tblPr>
        <w:tblStyle w:val="Table"/>
        <w:tblW w:w="0" w:type="auto"/>
        <w:tblLayout w:type="fixed"/>
        <w:tblLook w:val="04A0" w:firstRow="1" w:lastRow="0" w:firstColumn="1" w:lastColumn="0" w:noHBand="0" w:noVBand="1"/>
        <w:tblCaption w:val="Table 4 Food classifications and concentrations of steviol glycosides ued in the dietary exposure assessment for baseling and refined scenarios"/>
        <w:tblDescription w:val="Table 4 contains a summary of the food categories and the associated steviol glycoside concentration values used in the dietary exposure assessment"/>
      </w:tblPr>
      <w:tblGrid>
        <w:gridCol w:w="1560"/>
        <w:gridCol w:w="3739"/>
        <w:gridCol w:w="1931"/>
        <w:gridCol w:w="2976"/>
        <w:gridCol w:w="1560"/>
        <w:gridCol w:w="1701"/>
        <w:gridCol w:w="1931"/>
      </w:tblGrid>
      <w:tr w:rsidR="00724574" w:rsidRPr="004E1DBD" w14:paraId="7F9DBE5D" w14:textId="77777777" w:rsidTr="00465B3C">
        <w:trPr>
          <w:cnfStyle w:val="100000000000" w:firstRow="1" w:lastRow="0" w:firstColumn="0" w:lastColumn="0" w:oddVBand="0" w:evenVBand="0" w:oddHBand="0" w:evenHBand="0" w:firstRowFirstColumn="0" w:firstRowLastColumn="0" w:lastRowFirstColumn="0" w:lastRowLastColumn="0"/>
          <w:cantSplit/>
          <w:trHeight w:val="578"/>
          <w:tblHeader/>
        </w:trPr>
        <w:tc>
          <w:tcPr>
            <w:tcW w:w="1560" w:type="dxa"/>
            <w:vMerge w:val="restart"/>
            <w:noWrap/>
            <w:vAlign w:val="bottom"/>
            <w:hideMark/>
          </w:tcPr>
          <w:p w14:paraId="43D95FF3" w14:textId="03DA3652" w:rsidR="00724574" w:rsidRPr="004E1DBD" w:rsidRDefault="00724574" w:rsidP="00465B3C">
            <w:pPr>
              <w:spacing w:before="60" w:after="60"/>
              <w:ind w:right="0"/>
              <w:rPr>
                <w:rFonts w:eastAsia="Times New Roman" w:cs="Arial"/>
                <w:bCs/>
                <w:sz w:val="20"/>
                <w:szCs w:val="20"/>
                <w:lang w:eastAsia="en-GB"/>
              </w:rPr>
            </w:pPr>
            <w:r w:rsidRPr="004E1DBD">
              <w:rPr>
                <w:rFonts w:eastAsia="Times New Roman" w:cs="Arial"/>
                <w:bCs/>
                <w:sz w:val="20"/>
                <w:szCs w:val="20"/>
                <w:lang w:eastAsia="en-GB"/>
              </w:rPr>
              <w:t xml:space="preserve">Food </w:t>
            </w:r>
            <w:r w:rsidR="00B84599" w:rsidRPr="004E1DBD">
              <w:rPr>
                <w:rFonts w:eastAsia="Times New Roman" w:cs="Arial"/>
                <w:bCs/>
                <w:sz w:val="20"/>
                <w:szCs w:val="20"/>
                <w:lang w:eastAsia="en-GB"/>
              </w:rPr>
              <w:t>s</w:t>
            </w:r>
            <w:r w:rsidRPr="004E1DBD">
              <w:rPr>
                <w:rFonts w:eastAsia="Times New Roman" w:cs="Arial"/>
                <w:bCs/>
                <w:sz w:val="20"/>
                <w:szCs w:val="20"/>
                <w:lang w:eastAsia="en-GB"/>
              </w:rPr>
              <w:t xml:space="preserve">tandards </w:t>
            </w:r>
            <w:r w:rsidR="001873D6" w:rsidRPr="004E1DBD">
              <w:rPr>
                <w:rFonts w:eastAsia="Times New Roman" w:cs="Arial"/>
                <w:bCs/>
                <w:sz w:val="20"/>
                <w:szCs w:val="20"/>
                <w:lang w:eastAsia="en-GB"/>
              </w:rPr>
              <w:t>category code</w:t>
            </w:r>
          </w:p>
        </w:tc>
        <w:tc>
          <w:tcPr>
            <w:tcW w:w="3739" w:type="dxa"/>
            <w:vMerge w:val="restart"/>
            <w:noWrap/>
            <w:vAlign w:val="bottom"/>
            <w:hideMark/>
          </w:tcPr>
          <w:p w14:paraId="0542B357" w14:textId="3E947B9E" w:rsidR="00724574" w:rsidRPr="004E1DBD" w:rsidRDefault="00724574" w:rsidP="00465B3C">
            <w:pPr>
              <w:spacing w:before="60" w:after="60"/>
              <w:rPr>
                <w:rFonts w:eastAsia="Times New Roman" w:cs="Arial"/>
                <w:bCs/>
                <w:sz w:val="20"/>
                <w:szCs w:val="20"/>
                <w:lang w:eastAsia="en-GB"/>
              </w:rPr>
            </w:pPr>
            <w:r w:rsidRPr="004E1DBD">
              <w:rPr>
                <w:rFonts w:eastAsia="Times New Roman" w:cs="Arial"/>
                <w:bCs/>
                <w:sz w:val="20"/>
                <w:szCs w:val="20"/>
                <w:lang w:eastAsia="en-GB"/>
              </w:rPr>
              <w:t xml:space="preserve">Food </w:t>
            </w:r>
            <w:r w:rsidR="00B84599" w:rsidRPr="004E1DBD">
              <w:rPr>
                <w:rFonts w:eastAsia="Times New Roman" w:cs="Arial"/>
                <w:bCs/>
                <w:sz w:val="20"/>
                <w:szCs w:val="20"/>
                <w:lang w:eastAsia="en-GB"/>
              </w:rPr>
              <w:t>s</w:t>
            </w:r>
            <w:r w:rsidRPr="004E1DBD">
              <w:rPr>
                <w:rFonts w:eastAsia="Times New Roman" w:cs="Arial"/>
                <w:bCs/>
                <w:sz w:val="20"/>
                <w:szCs w:val="20"/>
                <w:lang w:eastAsia="en-GB"/>
              </w:rPr>
              <w:t xml:space="preserve">tandards </w:t>
            </w:r>
            <w:r w:rsidR="001873D6" w:rsidRPr="004E1DBD">
              <w:rPr>
                <w:rFonts w:eastAsia="Times New Roman" w:cs="Arial"/>
                <w:bCs/>
                <w:sz w:val="20"/>
                <w:szCs w:val="20"/>
                <w:lang w:eastAsia="en-GB"/>
              </w:rPr>
              <w:t xml:space="preserve">category </w:t>
            </w:r>
            <w:r w:rsidR="00666C29" w:rsidRPr="004E1DBD">
              <w:rPr>
                <w:rFonts w:eastAsia="Times New Roman" w:cs="Arial"/>
                <w:bCs/>
                <w:sz w:val="20"/>
                <w:szCs w:val="20"/>
                <w:lang w:eastAsia="en-GB"/>
              </w:rPr>
              <w:t>n</w:t>
            </w:r>
            <w:r w:rsidRPr="004E1DBD">
              <w:rPr>
                <w:rFonts w:eastAsia="Times New Roman" w:cs="Arial"/>
                <w:bCs/>
                <w:sz w:val="20"/>
                <w:szCs w:val="20"/>
                <w:lang w:eastAsia="en-GB"/>
              </w:rPr>
              <w:t>ame</w:t>
            </w:r>
          </w:p>
        </w:tc>
        <w:tc>
          <w:tcPr>
            <w:tcW w:w="1931" w:type="dxa"/>
            <w:vMerge w:val="restart"/>
            <w:noWrap/>
            <w:vAlign w:val="bottom"/>
            <w:hideMark/>
          </w:tcPr>
          <w:p w14:paraId="6AE6BDB6" w14:textId="77777777" w:rsidR="00724574" w:rsidRPr="004E1DBD" w:rsidRDefault="00724574" w:rsidP="00465B3C">
            <w:pPr>
              <w:spacing w:before="60" w:after="60"/>
              <w:ind w:left="126" w:right="174"/>
              <w:rPr>
                <w:rFonts w:eastAsia="Times New Roman" w:cs="Arial"/>
                <w:bCs/>
                <w:sz w:val="20"/>
                <w:szCs w:val="20"/>
                <w:lang w:eastAsia="en-GB"/>
              </w:rPr>
            </w:pPr>
            <w:r w:rsidRPr="004E1DBD">
              <w:rPr>
                <w:rFonts w:eastAsia="Times New Roman" w:cs="Arial"/>
                <w:bCs/>
                <w:sz w:val="20"/>
                <w:szCs w:val="20"/>
                <w:lang w:eastAsia="en-GB"/>
              </w:rPr>
              <w:t>Harvest classification code</w:t>
            </w:r>
          </w:p>
        </w:tc>
        <w:tc>
          <w:tcPr>
            <w:tcW w:w="2976" w:type="dxa"/>
            <w:vMerge w:val="restart"/>
            <w:noWrap/>
            <w:vAlign w:val="bottom"/>
            <w:hideMark/>
          </w:tcPr>
          <w:p w14:paraId="3108D64B" w14:textId="06FD72A6" w:rsidR="00724574" w:rsidRPr="004E1DBD" w:rsidRDefault="00161DAC" w:rsidP="00465B3C">
            <w:pPr>
              <w:spacing w:before="60" w:after="60"/>
              <w:rPr>
                <w:rFonts w:eastAsia="Times New Roman" w:cs="Arial"/>
                <w:sz w:val="20"/>
                <w:szCs w:val="20"/>
                <w:lang w:eastAsia="en-GB"/>
              </w:rPr>
            </w:pPr>
            <w:r w:rsidRPr="004E1DBD">
              <w:rPr>
                <w:rFonts w:eastAsia="Times New Roman" w:cs="Arial"/>
                <w:sz w:val="20"/>
                <w:szCs w:val="20"/>
                <w:lang w:eastAsia="en-GB"/>
              </w:rPr>
              <w:t xml:space="preserve">Harvest </w:t>
            </w:r>
            <w:r w:rsidR="00B84599" w:rsidRPr="004E1DBD">
              <w:rPr>
                <w:rFonts w:eastAsia="Times New Roman" w:cs="Arial"/>
                <w:sz w:val="20"/>
                <w:szCs w:val="20"/>
                <w:lang w:eastAsia="en-GB"/>
              </w:rPr>
              <w:t>c</w:t>
            </w:r>
            <w:r w:rsidRPr="004E1DBD">
              <w:rPr>
                <w:rFonts w:eastAsia="Times New Roman" w:cs="Arial"/>
                <w:sz w:val="20"/>
                <w:szCs w:val="20"/>
                <w:lang w:eastAsia="en-GB"/>
              </w:rPr>
              <w:t>lassification n</w:t>
            </w:r>
            <w:r w:rsidR="00724574" w:rsidRPr="004E1DBD">
              <w:rPr>
                <w:rFonts w:eastAsia="Times New Roman" w:cs="Arial"/>
                <w:sz w:val="20"/>
                <w:szCs w:val="20"/>
                <w:lang w:eastAsia="en-GB"/>
              </w:rPr>
              <w:t>ame</w:t>
            </w:r>
          </w:p>
        </w:tc>
        <w:tc>
          <w:tcPr>
            <w:tcW w:w="3261" w:type="dxa"/>
            <w:gridSpan w:val="2"/>
            <w:hideMark/>
          </w:tcPr>
          <w:p w14:paraId="3B11D9BB" w14:textId="7D5D901C" w:rsidR="00724574" w:rsidRPr="004E1DBD" w:rsidRDefault="00724574" w:rsidP="00465B3C">
            <w:pPr>
              <w:spacing w:before="60" w:after="60"/>
              <w:jc w:val="center"/>
              <w:rPr>
                <w:rFonts w:eastAsia="Times New Roman" w:cs="Arial"/>
                <w:sz w:val="20"/>
                <w:szCs w:val="20"/>
                <w:lang w:eastAsia="en-GB"/>
              </w:rPr>
            </w:pPr>
            <w:r w:rsidRPr="004E1DBD">
              <w:rPr>
                <w:rFonts w:eastAsia="Times New Roman" w:cs="Arial"/>
                <w:sz w:val="20"/>
                <w:szCs w:val="20"/>
                <w:lang w:eastAsia="en-GB"/>
              </w:rPr>
              <w:t>Concentration used in dietary exposure assessment scenario (mg/kg)</w:t>
            </w:r>
            <w:r w:rsidR="00B84599" w:rsidRPr="004E1DBD">
              <w:rPr>
                <w:rFonts w:eastAsia="Times New Roman" w:cs="Arial"/>
                <w:sz w:val="20"/>
                <w:szCs w:val="20"/>
                <w:lang w:eastAsia="en-GB"/>
              </w:rPr>
              <w:t>*</w:t>
            </w:r>
          </w:p>
        </w:tc>
        <w:tc>
          <w:tcPr>
            <w:tcW w:w="1931" w:type="dxa"/>
            <w:vMerge w:val="restart"/>
            <w:noWrap/>
            <w:vAlign w:val="bottom"/>
            <w:hideMark/>
          </w:tcPr>
          <w:p w14:paraId="36DAB6A6" w14:textId="331DD1F7" w:rsidR="00724574" w:rsidRPr="004E1DBD" w:rsidRDefault="00724574" w:rsidP="00465B3C">
            <w:pPr>
              <w:spacing w:before="60" w:after="60"/>
              <w:jc w:val="center"/>
              <w:rPr>
                <w:rFonts w:eastAsia="Times New Roman" w:cs="Arial"/>
                <w:sz w:val="20"/>
                <w:szCs w:val="20"/>
                <w:lang w:eastAsia="en-GB"/>
              </w:rPr>
            </w:pPr>
            <w:r w:rsidRPr="004E1DBD">
              <w:rPr>
                <w:rFonts w:eastAsia="Times New Roman" w:cs="Arial"/>
                <w:bCs/>
                <w:sz w:val="20"/>
                <w:szCs w:val="20"/>
                <w:lang w:eastAsia="en-GB"/>
              </w:rPr>
              <w:t xml:space="preserve">Proportion of </w:t>
            </w:r>
            <w:r w:rsidR="005727F1" w:rsidRPr="004E1DBD">
              <w:rPr>
                <w:rFonts w:eastAsia="Times New Roman" w:cs="Arial"/>
                <w:bCs/>
                <w:sz w:val="20"/>
                <w:szCs w:val="20"/>
                <w:lang w:eastAsia="en-GB"/>
              </w:rPr>
              <w:t>market share</w:t>
            </w:r>
            <w:r w:rsidRPr="004E1DBD">
              <w:rPr>
                <w:rFonts w:eastAsia="Times New Roman" w:cs="Arial"/>
                <w:bCs/>
                <w:sz w:val="20"/>
                <w:szCs w:val="20"/>
                <w:lang w:eastAsia="en-GB"/>
              </w:rPr>
              <w:t xml:space="preserve"> industry data provided for (%)</w:t>
            </w:r>
          </w:p>
        </w:tc>
      </w:tr>
      <w:tr w:rsidR="00724574" w:rsidRPr="004E1DBD" w14:paraId="37E3816C" w14:textId="77777777" w:rsidTr="00465B3C">
        <w:trPr>
          <w:cnfStyle w:val="100000000000" w:firstRow="1" w:lastRow="0" w:firstColumn="0" w:lastColumn="0" w:oddVBand="0" w:evenVBand="0" w:oddHBand="0" w:evenHBand="0" w:firstRowFirstColumn="0" w:firstRowLastColumn="0" w:lastRowFirstColumn="0" w:lastRowLastColumn="0"/>
          <w:cantSplit/>
          <w:trHeight w:val="350"/>
          <w:tblHeader/>
        </w:trPr>
        <w:tc>
          <w:tcPr>
            <w:tcW w:w="1560" w:type="dxa"/>
            <w:vMerge/>
            <w:noWrap/>
          </w:tcPr>
          <w:p w14:paraId="619D019A" w14:textId="77777777" w:rsidR="00724574" w:rsidRPr="004E1DBD" w:rsidRDefault="00724574" w:rsidP="00465B3C">
            <w:pPr>
              <w:spacing w:before="60" w:after="60"/>
              <w:rPr>
                <w:rFonts w:eastAsia="Times New Roman" w:cs="Arial"/>
                <w:bCs/>
                <w:sz w:val="20"/>
                <w:szCs w:val="20"/>
                <w:lang w:eastAsia="en-GB"/>
              </w:rPr>
            </w:pPr>
          </w:p>
        </w:tc>
        <w:tc>
          <w:tcPr>
            <w:tcW w:w="3739" w:type="dxa"/>
            <w:vMerge/>
            <w:noWrap/>
          </w:tcPr>
          <w:p w14:paraId="5F5348AF" w14:textId="77777777" w:rsidR="00724574" w:rsidRPr="004E1DBD" w:rsidRDefault="00724574" w:rsidP="00465B3C">
            <w:pPr>
              <w:spacing w:before="60" w:after="60"/>
              <w:rPr>
                <w:rFonts w:eastAsia="Times New Roman" w:cs="Arial"/>
                <w:bCs/>
                <w:sz w:val="20"/>
                <w:szCs w:val="20"/>
                <w:lang w:eastAsia="en-GB"/>
              </w:rPr>
            </w:pPr>
          </w:p>
        </w:tc>
        <w:tc>
          <w:tcPr>
            <w:tcW w:w="1931" w:type="dxa"/>
            <w:vMerge/>
            <w:noWrap/>
          </w:tcPr>
          <w:p w14:paraId="19185651" w14:textId="77777777" w:rsidR="00724574" w:rsidRPr="004E1DBD" w:rsidRDefault="00724574" w:rsidP="00465B3C">
            <w:pPr>
              <w:spacing w:before="60" w:after="60"/>
              <w:rPr>
                <w:rFonts w:eastAsia="Times New Roman" w:cs="Arial"/>
                <w:bCs/>
                <w:sz w:val="20"/>
                <w:szCs w:val="20"/>
                <w:lang w:eastAsia="en-GB"/>
              </w:rPr>
            </w:pPr>
          </w:p>
        </w:tc>
        <w:tc>
          <w:tcPr>
            <w:tcW w:w="2976" w:type="dxa"/>
            <w:vMerge/>
            <w:noWrap/>
          </w:tcPr>
          <w:p w14:paraId="55B414C0" w14:textId="77777777" w:rsidR="00724574" w:rsidRPr="004E1DBD" w:rsidRDefault="00724574" w:rsidP="00465B3C">
            <w:pPr>
              <w:spacing w:before="60" w:after="60"/>
              <w:rPr>
                <w:rFonts w:eastAsia="Times New Roman" w:cs="Arial"/>
                <w:sz w:val="20"/>
                <w:szCs w:val="20"/>
                <w:lang w:eastAsia="en-GB"/>
              </w:rPr>
            </w:pPr>
          </w:p>
        </w:tc>
        <w:tc>
          <w:tcPr>
            <w:tcW w:w="1560" w:type="dxa"/>
          </w:tcPr>
          <w:p w14:paraId="788CF3D8" w14:textId="77777777" w:rsidR="00724574" w:rsidRPr="008E7BE8" w:rsidRDefault="00724574" w:rsidP="00465B3C">
            <w:pPr>
              <w:spacing w:before="60" w:after="60"/>
              <w:jc w:val="center"/>
              <w:rPr>
                <w:rFonts w:eastAsia="Times New Roman" w:cs="Arial"/>
                <w:sz w:val="20"/>
                <w:szCs w:val="20"/>
                <w:lang w:eastAsia="en-GB"/>
              </w:rPr>
            </w:pPr>
            <w:r w:rsidRPr="008E7BE8">
              <w:rPr>
                <w:rFonts w:eastAsia="Times New Roman" w:cs="Arial"/>
                <w:sz w:val="20"/>
                <w:szCs w:val="20"/>
                <w:lang w:eastAsia="en-GB"/>
              </w:rPr>
              <w:t>Baseline</w:t>
            </w:r>
          </w:p>
        </w:tc>
        <w:tc>
          <w:tcPr>
            <w:tcW w:w="1701" w:type="dxa"/>
          </w:tcPr>
          <w:p w14:paraId="5273AD76" w14:textId="7491C8A4" w:rsidR="00724574" w:rsidRPr="008E7BE8" w:rsidRDefault="00724574" w:rsidP="00465B3C">
            <w:pPr>
              <w:spacing w:before="60" w:after="60"/>
              <w:jc w:val="center"/>
              <w:rPr>
                <w:rFonts w:eastAsia="Times New Roman" w:cs="Arial"/>
                <w:sz w:val="20"/>
                <w:szCs w:val="20"/>
                <w:lang w:eastAsia="en-GB"/>
              </w:rPr>
            </w:pPr>
            <w:r w:rsidRPr="008E7BE8">
              <w:rPr>
                <w:rFonts w:eastAsia="Times New Roman" w:cs="Arial"/>
                <w:sz w:val="20"/>
                <w:szCs w:val="20"/>
                <w:lang w:eastAsia="en-GB"/>
              </w:rPr>
              <w:t>Refined*</w:t>
            </w:r>
            <w:r w:rsidR="00B84599" w:rsidRPr="008E7BE8">
              <w:rPr>
                <w:rFonts w:eastAsia="Times New Roman" w:cs="Arial"/>
                <w:sz w:val="20"/>
                <w:szCs w:val="20"/>
                <w:lang w:eastAsia="en-GB"/>
              </w:rPr>
              <w:t>*</w:t>
            </w:r>
          </w:p>
        </w:tc>
        <w:tc>
          <w:tcPr>
            <w:tcW w:w="1931" w:type="dxa"/>
            <w:vMerge/>
            <w:noWrap/>
          </w:tcPr>
          <w:p w14:paraId="3AD27BC8" w14:textId="77777777" w:rsidR="00724574" w:rsidRPr="004E1DBD" w:rsidRDefault="00724574" w:rsidP="00465B3C">
            <w:pPr>
              <w:spacing w:before="60" w:after="60"/>
              <w:jc w:val="center"/>
              <w:rPr>
                <w:rFonts w:eastAsia="Times New Roman" w:cs="Arial"/>
                <w:sz w:val="20"/>
                <w:szCs w:val="20"/>
                <w:lang w:eastAsia="en-GB"/>
              </w:rPr>
            </w:pPr>
          </w:p>
        </w:tc>
      </w:tr>
      <w:tr w:rsidR="00161DAC" w:rsidRPr="004E1DBD" w14:paraId="572C7792"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2DE8D6F0"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1.1.2</w:t>
            </w:r>
          </w:p>
        </w:tc>
        <w:tc>
          <w:tcPr>
            <w:tcW w:w="3739" w:type="dxa"/>
            <w:noWrap/>
            <w:vAlign w:val="bottom"/>
            <w:hideMark/>
          </w:tcPr>
          <w:p w14:paraId="588A92B2"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Liquid milk products and flavoured liquid milk</w:t>
            </w:r>
          </w:p>
        </w:tc>
        <w:tc>
          <w:tcPr>
            <w:tcW w:w="1931" w:type="dxa"/>
            <w:noWrap/>
            <w:vAlign w:val="bottom"/>
            <w:hideMark/>
          </w:tcPr>
          <w:p w14:paraId="572AAAE0"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1.1.2</w:t>
            </w:r>
          </w:p>
        </w:tc>
        <w:tc>
          <w:tcPr>
            <w:tcW w:w="2976" w:type="dxa"/>
            <w:noWrap/>
            <w:vAlign w:val="bottom"/>
            <w:hideMark/>
          </w:tcPr>
          <w:p w14:paraId="1AEA4904"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Liquid milk prod &amp; flav liquid milk</w:t>
            </w:r>
          </w:p>
        </w:tc>
        <w:tc>
          <w:tcPr>
            <w:tcW w:w="1560" w:type="dxa"/>
            <w:noWrap/>
            <w:vAlign w:val="bottom"/>
            <w:hideMark/>
          </w:tcPr>
          <w:p w14:paraId="28FFD8AD" w14:textId="7777777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115</w:t>
            </w:r>
          </w:p>
        </w:tc>
        <w:tc>
          <w:tcPr>
            <w:tcW w:w="1701" w:type="dxa"/>
            <w:noWrap/>
            <w:vAlign w:val="bottom"/>
            <w:hideMark/>
          </w:tcPr>
          <w:p w14:paraId="7A281D7D" w14:textId="1A3E804D"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79.0</w:t>
            </w:r>
          </w:p>
        </w:tc>
        <w:tc>
          <w:tcPr>
            <w:tcW w:w="1931" w:type="dxa"/>
            <w:noWrap/>
            <w:vAlign w:val="bottom"/>
            <w:hideMark/>
          </w:tcPr>
          <w:p w14:paraId="700050E6" w14:textId="7777777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40.8</w:t>
            </w:r>
          </w:p>
        </w:tc>
      </w:tr>
      <w:tr w:rsidR="00161DAC" w:rsidRPr="004E1DBD" w14:paraId="40B79E19"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5FF40B28"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1.2.2</w:t>
            </w:r>
          </w:p>
        </w:tc>
        <w:tc>
          <w:tcPr>
            <w:tcW w:w="3739" w:type="dxa"/>
            <w:noWrap/>
            <w:vAlign w:val="bottom"/>
            <w:hideMark/>
          </w:tcPr>
          <w:p w14:paraId="305CE5AF"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Fermented milk products and rennetted milk products</w:t>
            </w:r>
          </w:p>
        </w:tc>
        <w:tc>
          <w:tcPr>
            <w:tcW w:w="1931" w:type="dxa"/>
            <w:noWrap/>
            <w:vAlign w:val="bottom"/>
            <w:hideMark/>
          </w:tcPr>
          <w:p w14:paraId="76E4307B"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1.2.2</w:t>
            </w:r>
          </w:p>
        </w:tc>
        <w:tc>
          <w:tcPr>
            <w:tcW w:w="2976" w:type="dxa"/>
            <w:noWrap/>
            <w:vAlign w:val="bottom"/>
            <w:hideMark/>
          </w:tcPr>
          <w:p w14:paraId="2B24CA95"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Ferm &amp; renn milk prod, flavoured</w:t>
            </w:r>
          </w:p>
        </w:tc>
        <w:tc>
          <w:tcPr>
            <w:tcW w:w="1560" w:type="dxa"/>
            <w:noWrap/>
            <w:vAlign w:val="bottom"/>
            <w:hideMark/>
          </w:tcPr>
          <w:p w14:paraId="3D7C7F2F" w14:textId="7777777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175</w:t>
            </w:r>
          </w:p>
        </w:tc>
        <w:tc>
          <w:tcPr>
            <w:tcW w:w="1701" w:type="dxa"/>
            <w:noWrap/>
            <w:vAlign w:val="bottom"/>
            <w:hideMark/>
          </w:tcPr>
          <w:p w14:paraId="6C280BBB" w14:textId="7777777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148.4</w:t>
            </w:r>
          </w:p>
        </w:tc>
        <w:tc>
          <w:tcPr>
            <w:tcW w:w="1931" w:type="dxa"/>
            <w:noWrap/>
            <w:vAlign w:val="bottom"/>
            <w:hideMark/>
          </w:tcPr>
          <w:p w14:paraId="57570715" w14:textId="7777777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15.2</w:t>
            </w:r>
          </w:p>
        </w:tc>
      </w:tr>
      <w:tr w:rsidR="00161DAC" w:rsidRPr="004E1DBD" w14:paraId="191948ED"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5F390D61" w14:textId="3AE6DD0E" w:rsidR="00161DAC" w:rsidRPr="004E1DBD" w:rsidRDefault="00161DAC" w:rsidP="00465B3C">
            <w:pPr>
              <w:spacing w:before="60" w:after="60"/>
              <w:rPr>
                <w:rFonts w:eastAsia="Times New Roman" w:cs="Arial"/>
                <w:sz w:val="20"/>
                <w:szCs w:val="20"/>
                <w:lang w:eastAsia="en-GB"/>
              </w:rPr>
            </w:pPr>
            <w:r w:rsidRPr="004E1DBD">
              <w:rPr>
                <w:rFonts w:cs="Arial"/>
                <w:sz w:val="20"/>
                <w:szCs w:val="20"/>
              </w:rPr>
              <w:t>3</w:t>
            </w:r>
          </w:p>
        </w:tc>
        <w:tc>
          <w:tcPr>
            <w:tcW w:w="3739" w:type="dxa"/>
            <w:noWrap/>
            <w:vAlign w:val="bottom"/>
            <w:hideMark/>
          </w:tcPr>
          <w:p w14:paraId="2AC33C73" w14:textId="20CB414E" w:rsidR="00161DAC" w:rsidRPr="004E1DBD" w:rsidRDefault="00161DAC" w:rsidP="00465B3C">
            <w:pPr>
              <w:spacing w:before="60" w:after="60"/>
              <w:rPr>
                <w:rFonts w:eastAsia="Times New Roman" w:cs="Arial"/>
                <w:sz w:val="20"/>
                <w:szCs w:val="20"/>
                <w:lang w:eastAsia="en-GB"/>
              </w:rPr>
            </w:pPr>
            <w:r w:rsidRPr="004E1DBD">
              <w:rPr>
                <w:rFonts w:cs="Arial"/>
                <w:sz w:val="20"/>
                <w:szCs w:val="20"/>
              </w:rPr>
              <w:t>Ice cream and edible ices</w:t>
            </w:r>
          </w:p>
        </w:tc>
        <w:tc>
          <w:tcPr>
            <w:tcW w:w="1931" w:type="dxa"/>
            <w:noWrap/>
            <w:vAlign w:val="bottom"/>
            <w:hideMark/>
          </w:tcPr>
          <w:p w14:paraId="1EF2C512" w14:textId="60C86C29" w:rsidR="00161DAC" w:rsidRPr="004E1DBD" w:rsidRDefault="00161DAC" w:rsidP="00465B3C">
            <w:pPr>
              <w:spacing w:before="60" w:after="60"/>
              <w:rPr>
                <w:rFonts w:eastAsia="Times New Roman" w:cs="Arial"/>
                <w:sz w:val="20"/>
                <w:szCs w:val="20"/>
                <w:lang w:eastAsia="en-GB"/>
              </w:rPr>
            </w:pPr>
            <w:r w:rsidRPr="004E1DBD">
              <w:rPr>
                <w:rFonts w:cs="Arial"/>
                <w:sz w:val="20"/>
                <w:szCs w:val="20"/>
              </w:rPr>
              <w:t>3</w:t>
            </w:r>
          </w:p>
        </w:tc>
        <w:tc>
          <w:tcPr>
            <w:tcW w:w="2976" w:type="dxa"/>
            <w:noWrap/>
            <w:vAlign w:val="bottom"/>
            <w:hideMark/>
          </w:tcPr>
          <w:p w14:paraId="627F0D57" w14:textId="50821A6D" w:rsidR="00161DAC" w:rsidRPr="004E1DBD" w:rsidRDefault="00161DAC" w:rsidP="00465B3C">
            <w:pPr>
              <w:spacing w:before="60" w:after="60"/>
              <w:rPr>
                <w:rFonts w:eastAsia="Times New Roman" w:cs="Arial"/>
                <w:sz w:val="20"/>
                <w:szCs w:val="20"/>
                <w:lang w:eastAsia="en-GB"/>
              </w:rPr>
            </w:pPr>
            <w:r w:rsidRPr="004E1DBD">
              <w:rPr>
                <w:rFonts w:cs="Arial"/>
                <w:sz w:val="20"/>
                <w:szCs w:val="20"/>
              </w:rPr>
              <w:t>Ice cream &amp; edible ices</w:t>
            </w:r>
          </w:p>
        </w:tc>
        <w:tc>
          <w:tcPr>
            <w:tcW w:w="1560" w:type="dxa"/>
            <w:noWrap/>
            <w:vAlign w:val="bottom"/>
            <w:hideMark/>
          </w:tcPr>
          <w:p w14:paraId="3F2FBF96" w14:textId="7600F53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200</w:t>
            </w:r>
          </w:p>
        </w:tc>
        <w:tc>
          <w:tcPr>
            <w:tcW w:w="1701" w:type="dxa"/>
            <w:noWrap/>
            <w:vAlign w:val="bottom"/>
            <w:hideMark/>
          </w:tcPr>
          <w:p w14:paraId="25D5B66F" w14:textId="3D7E986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66.2</w:t>
            </w:r>
          </w:p>
        </w:tc>
        <w:tc>
          <w:tcPr>
            <w:tcW w:w="1931" w:type="dxa"/>
            <w:noWrap/>
            <w:vAlign w:val="bottom"/>
            <w:hideMark/>
          </w:tcPr>
          <w:p w14:paraId="12C48B1B" w14:textId="1C31BB30"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66.9</w:t>
            </w:r>
          </w:p>
        </w:tc>
      </w:tr>
      <w:tr w:rsidR="00161DAC" w:rsidRPr="004E1DBD" w14:paraId="4DC7429B"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7A0F75D3" w14:textId="400508DC" w:rsidR="00161DAC" w:rsidRPr="004E1DBD" w:rsidRDefault="00161DAC" w:rsidP="00465B3C">
            <w:pPr>
              <w:spacing w:before="60" w:after="60"/>
              <w:rPr>
                <w:rFonts w:eastAsia="Times New Roman" w:cs="Arial"/>
                <w:sz w:val="20"/>
                <w:szCs w:val="20"/>
                <w:lang w:eastAsia="en-GB"/>
              </w:rPr>
            </w:pPr>
            <w:r w:rsidRPr="004E1DBD">
              <w:rPr>
                <w:rFonts w:cs="Arial"/>
                <w:sz w:val="20"/>
                <w:szCs w:val="20"/>
              </w:rPr>
              <w:t>4.3.2</w:t>
            </w:r>
          </w:p>
        </w:tc>
        <w:tc>
          <w:tcPr>
            <w:tcW w:w="3739" w:type="dxa"/>
            <w:noWrap/>
            <w:vAlign w:val="bottom"/>
            <w:hideMark/>
          </w:tcPr>
          <w:p w14:paraId="3E2815AA" w14:textId="37234607"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Fruits and vegetables in vinegar, oil, brine or alcohol</w:t>
            </w:r>
          </w:p>
        </w:tc>
        <w:tc>
          <w:tcPr>
            <w:tcW w:w="1931" w:type="dxa"/>
            <w:noWrap/>
            <w:vAlign w:val="bottom"/>
            <w:hideMark/>
          </w:tcPr>
          <w:p w14:paraId="22D3F7E5" w14:textId="0CDD3A19" w:rsidR="00161DAC" w:rsidRPr="004E1DBD" w:rsidRDefault="00161DAC" w:rsidP="00465B3C">
            <w:pPr>
              <w:spacing w:before="60" w:after="60"/>
              <w:rPr>
                <w:rFonts w:eastAsia="Times New Roman" w:cs="Arial"/>
                <w:sz w:val="20"/>
                <w:szCs w:val="20"/>
                <w:lang w:eastAsia="en-GB"/>
              </w:rPr>
            </w:pPr>
            <w:r w:rsidRPr="004E1DBD">
              <w:rPr>
                <w:rFonts w:cs="Arial"/>
                <w:sz w:val="20"/>
                <w:szCs w:val="20"/>
              </w:rPr>
              <w:t>4.3.2</w:t>
            </w:r>
          </w:p>
        </w:tc>
        <w:tc>
          <w:tcPr>
            <w:tcW w:w="2976" w:type="dxa"/>
            <w:noWrap/>
            <w:vAlign w:val="bottom"/>
            <w:hideMark/>
          </w:tcPr>
          <w:p w14:paraId="38D9DD90" w14:textId="162D00DF"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Fruits &amp; veges in vinegar/oil/brine/alcohol</w:t>
            </w:r>
          </w:p>
        </w:tc>
        <w:tc>
          <w:tcPr>
            <w:tcW w:w="1560" w:type="dxa"/>
            <w:noWrap/>
            <w:vAlign w:val="bottom"/>
            <w:hideMark/>
          </w:tcPr>
          <w:p w14:paraId="1915C132" w14:textId="7807F7CB"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160</w:t>
            </w:r>
          </w:p>
        </w:tc>
        <w:tc>
          <w:tcPr>
            <w:tcW w:w="1701" w:type="dxa"/>
            <w:noWrap/>
            <w:vAlign w:val="bottom"/>
            <w:hideMark/>
          </w:tcPr>
          <w:p w14:paraId="72A15382" w14:textId="508F96D3"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149.8</w:t>
            </w:r>
          </w:p>
        </w:tc>
        <w:tc>
          <w:tcPr>
            <w:tcW w:w="1931" w:type="dxa"/>
            <w:noWrap/>
            <w:vAlign w:val="bottom"/>
            <w:hideMark/>
          </w:tcPr>
          <w:p w14:paraId="320D92D8" w14:textId="2979C84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6.4</w:t>
            </w:r>
          </w:p>
        </w:tc>
      </w:tr>
      <w:tr w:rsidR="00161DAC" w:rsidRPr="004E1DBD" w14:paraId="409EFA35"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705321DA" w14:textId="72791078" w:rsidR="00161DAC" w:rsidRPr="004E1DBD" w:rsidRDefault="00161DAC" w:rsidP="00465B3C">
            <w:pPr>
              <w:spacing w:before="60" w:after="60"/>
              <w:rPr>
                <w:rFonts w:eastAsia="Times New Roman" w:cs="Arial"/>
                <w:sz w:val="20"/>
                <w:szCs w:val="20"/>
                <w:lang w:eastAsia="en-GB"/>
              </w:rPr>
            </w:pPr>
            <w:r w:rsidRPr="004E1DBD">
              <w:rPr>
                <w:rFonts w:cs="Arial"/>
                <w:sz w:val="20"/>
                <w:szCs w:val="20"/>
              </w:rPr>
              <w:t>4.3.4.1</w:t>
            </w:r>
          </w:p>
        </w:tc>
        <w:tc>
          <w:tcPr>
            <w:tcW w:w="3739" w:type="dxa"/>
            <w:noWrap/>
            <w:vAlign w:val="bottom"/>
            <w:hideMark/>
          </w:tcPr>
          <w:p w14:paraId="40469777" w14:textId="357AF806" w:rsidR="00161DAC" w:rsidRPr="004E1DBD" w:rsidRDefault="00161DAC" w:rsidP="00465B3C">
            <w:pPr>
              <w:spacing w:before="60" w:after="60"/>
              <w:rPr>
                <w:rFonts w:eastAsia="Times New Roman" w:cs="Arial"/>
                <w:sz w:val="20"/>
                <w:szCs w:val="20"/>
                <w:lang w:eastAsia="en-GB"/>
              </w:rPr>
            </w:pPr>
            <w:r w:rsidRPr="004E1DBD">
              <w:rPr>
                <w:rFonts w:cs="Arial"/>
                <w:sz w:val="20"/>
                <w:szCs w:val="20"/>
              </w:rPr>
              <w:t>Low joule chutneys, low joule jams and low joule spreads</w:t>
            </w:r>
          </w:p>
        </w:tc>
        <w:tc>
          <w:tcPr>
            <w:tcW w:w="1931" w:type="dxa"/>
            <w:noWrap/>
            <w:vAlign w:val="bottom"/>
            <w:hideMark/>
          </w:tcPr>
          <w:p w14:paraId="6F2D8007" w14:textId="46E6785C" w:rsidR="00161DAC" w:rsidRPr="004E1DBD" w:rsidRDefault="00161DAC" w:rsidP="00465B3C">
            <w:pPr>
              <w:spacing w:before="60" w:after="60"/>
              <w:rPr>
                <w:rFonts w:eastAsia="Times New Roman" w:cs="Arial"/>
                <w:sz w:val="20"/>
                <w:szCs w:val="20"/>
                <w:lang w:eastAsia="en-GB"/>
              </w:rPr>
            </w:pPr>
            <w:r w:rsidRPr="004E1DBD">
              <w:rPr>
                <w:rFonts w:cs="Arial"/>
                <w:sz w:val="20"/>
                <w:szCs w:val="20"/>
              </w:rPr>
              <w:t>4.3.4.2</w:t>
            </w:r>
          </w:p>
        </w:tc>
        <w:tc>
          <w:tcPr>
            <w:tcW w:w="2976" w:type="dxa"/>
            <w:noWrap/>
            <w:vAlign w:val="bottom"/>
            <w:hideMark/>
          </w:tcPr>
          <w:p w14:paraId="3F95778A" w14:textId="43795461"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 &amp; vege spreads (low joule), jams</w:t>
            </w:r>
          </w:p>
        </w:tc>
        <w:tc>
          <w:tcPr>
            <w:tcW w:w="1560" w:type="dxa"/>
            <w:noWrap/>
            <w:vAlign w:val="bottom"/>
            <w:hideMark/>
          </w:tcPr>
          <w:p w14:paraId="6417D1A8" w14:textId="3F128F6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450</w:t>
            </w:r>
          </w:p>
        </w:tc>
        <w:tc>
          <w:tcPr>
            <w:tcW w:w="1701" w:type="dxa"/>
            <w:noWrap/>
            <w:vAlign w:val="bottom"/>
            <w:hideMark/>
          </w:tcPr>
          <w:p w14:paraId="00D302C9" w14:textId="035DC2AA"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448.7</w:t>
            </w:r>
          </w:p>
        </w:tc>
        <w:tc>
          <w:tcPr>
            <w:tcW w:w="1931" w:type="dxa"/>
            <w:noWrap/>
            <w:vAlign w:val="bottom"/>
            <w:hideMark/>
          </w:tcPr>
          <w:p w14:paraId="3A1E89F3" w14:textId="24447CEB"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0.3</w:t>
            </w:r>
          </w:p>
        </w:tc>
      </w:tr>
      <w:tr w:rsidR="00161DAC" w:rsidRPr="004E1DBD" w14:paraId="7B5967B3"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2DF19AC6" w14:textId="499CED32" w:rsidR="00161DAC" w:rsidRPr="004E1DBD" w:rsidRDefault="00161DAC" w:rsidP="00465B3C">
            <w:pPr>
              <w:spacing w:before="60" w:after="60"/>
              <w:rPr>
                <w:rFonts w:eastAsia="Times New Roman" w:cs="Arial"/>
                <w:sz w:val="20"/>
                <w:szCs w:val="20"/>
                <w:lang w:eastAsia="en-GB"/>
              </w:rPr>
            </w:pPr>
            <w:r w:rsidRPr="004E1DBD">
              <w:rPr>
                <w:rFonts w:cs="Arial"/>
                <w:sz w:val="20"/>
                <w:szCs w:val="20"/>
              </w:rPr>
              <w:t>4.3.6</w:t>
            </w:r>
          </w:p>
        </w:tc>
        <w:tc>
          <w:tcPr>
            <w:tcW w:w="3739" w:type="dxa"/>
            <w:noWrap/>
            <w:vAlign w:val="bottom"/>
            <w:hideMark/>
          </w:tcPr>
          <w:p w14:paraId="28CB5767" w14:textId="7FF5838D"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 and vegetable preparations including pulp</w:t>
            </w:r>
          </w:p>
        </w:tc>
        <w:tc>
          <w:tcPr>
            <w:tcW w:w="1931" w:type="dxa"/>
            <w:noWrap/>
            <w:vAlign w:val="bottom"/>
            <w:hideMark/>
          </w:tcPr>
          <w:p w14:paraId="1BE4CA1C" w14:textId="002B852C" w:rsidR="00161DAC" w:rsidRPr="004E1DBD" w:rsidRDefault="00161DAC" w:rsidP="00465B3C">
            <w:pPr>
              <w:spacing w:before="60" w:after="60"/>
              <w:rPr>
                <w:rFonts w:eastAsia="Times New Roman" w:cs="Arial"/>
                <w:sz w:val="20"/>
                <w:szCs w:val="20"/>
                <w:lang w:eastAsia="en-GB"/>
              </w:rPr>
            </w:pPr>
            <w:r w:rsidRPr="004E1DBD">
              <w:rPr>
                <w:rFonts w:cs="Arial"/>
                <w:sz w:val="20"/>
                <w:szCs w:val="20"/>
              </w:rPr>
              <w:t>4.3.6</w:t>
            </w:r>
          </w:p>
        </w:tc>
        <w:tc>
          <w:tcPr>
            <w:tcW w:w="2976" w:type="dxa"/>
            <w:noWrap/>
            <w:vAlign w:val="bottom"/>
            <w:hideMark/>
          </w:tcPr>
          <w:p w14:paraId="332A56C9" w14:textId="4A016AAC"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 &amp; vegetable preparations including pulp</w:t>
            </w:r>
          </w:p>
        </w:tc>
        <w:tc>
          <w:tcPr>
            <w:tcW w:w="1560" w:type="dxa"/>
            <w:noWrap/>
            <w:vAlign w:val="bottom"/>
            <w:hideMark/>
          </w:tcPr>
          <w:p w14:paraId="7A5022D9" w14:textId="728161D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210</w:t>
            </w:r>
          </w:p>
        </w:tc>
        <w:tc>
          <w:tcPr>
            <w:tcW w:w="1701" w:type="dxa"/>
            <w:noWrap/>
            <w:vAlign w:val="bottom"/>
            <w:hideMark/>
          </w:tcPr>
          <w:p w14:paraId="6F55EA1F" w14:textId="6750B820"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146.0</w:t>
            </w:r>
          </w:p>
        </w:tc>
        <w:tc>
          <w:tcPr>
            <w:tcW w:w="1931" w:type="dxa"/>
            <w:noWrap/>
            <w:vAlign w:val="bottom"/>
            <w:hideMark/>
          </w:tcPr>
          <w:p w14:paraId="4E039AE0" w14:textId="447B4F4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30.5</w:t>
            </w:r>
          </w:p>
        </w:tc>
      </w:tr>
      <w:tr w:rsidR="00161DAC" w:rsidRPr="004E1DBD" w14:paraId="41FAF82B"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2FEC468C" w14:textId="62F0A1C8" w:rsidR="00161DAC" w:rsidRPr="004E1DBD" w:rsidRDefault="00161DAC" w:rsidP="00465B3C">
            <w:pPr>
              <w:spacing w:before="60" w:after="60"/>
              <w:rPr>
                <w:rFonts w:eastAsia="Times New Roman" w:cs="Arial"/>
                <w:sz w:val="20"/>
                <w:szCs w:val="20"/>
                <w:vertAlign w:val="superscript"/>
                <w:lang w:eastAsia="en-GB"/>
              </w:rPr>
            </w:pPr>
            <w:r w:rsidRPr="004E1DBD">
              <w:rPr>
                <w:rFonts w:cs="Arial"/>
                <w:sz w:val="20"/>
                <w:szCs w:val="20"/>
              </w:rPr>
              <w:t>5.1</w:t>
            </w:r>
          </w:p>
        </w:tc>
        <w:tc>
          <w:tcPr>
            <w:tcW w:w="3739" w:type="dxa"/>
            <w:noWrap/>
            <w:vAlign w:val="bottom"/>
            <w:hideMark/>
          </w:tcPr>
          <w:p w14:paraId="165B40E7" w14:textId="3BEC6B12" w:rsidR="00161DAC" w:rsidRPr="004E1DBD" w:rsidRDefault="00161DAC" w:rsidP="00465B3C">
            <w:pPr>
              <w:spacing w:before="60" w:after="60"/>
              <w:rPr>
                <w:rFonts w:eastAsia="Times New Roman" w:cs="Arial"/>
                <w:sz w:val="20"/>
                <w:szCs w:val="20"/>
                <w:lang w:eastAsia="en-GB"/>
              </w:rPr>
            </w:pPr>
            <w:r w:rsidRPr="004E1DBD">
              <w:rPr>
                <w:rFonts w:cs="Arial"/>
                <w:sz w:val="20"/>
                <w:szCs w:val="20"/>
              </w:rPr>
              <w:t>Chocolate and cocoa products</w:t>
            </w:r>
          </w:p>
        </w:tc>
        <w:tc>
          <w:tcPr>
            <w:tcW w:w="1931" w:type="dxa"/>
            <w:noWrap/>
            <w:vAlign w:val="bottom"/>
            <w:hideMark/>
          </w:tcPr>
          <w:p w14:paraId="45D5A1CE" w14:textId="2A0BA6B7" w:rsidR="00161DAC" w:rsidRPr="004E1DBD" w:rsidRDefault="00161DAC" w:rsidP="00465B3C">
            <w:pPr>
              <w:spacing w:before="60" w:after="60"/>
              <w:rPr>
                <w:rFonts w:eastAsia="Times New Roman" w:cs="Arial"/>
                <w:sz w:val="20"/>
                <w:szCs w:val="20"/>
                <w:lang w:eastAsia="en-GB"/>
              </w:rPr>
            </w:pPr>
            <w:r w:rsidRPr="004E1DBD">
              <w:rPr>
                <w:rFonts w:cs="Arial"/>
                <w:sz w:val="20"/>
                <w:szCs w:val="20"/>
              </w:rPr>
              <w:t>5.1</w:t>
            </w:r>
          </w:p>
        </w:tc>
        <w:tc>
          <w:tcPr>
            <w:tcW w:w="2976" w:type="dxa"/>
            <w:noWrap/>
            <w:vAlign w:val="bottom"/>
            <w:hideMark/>
          </w:tcPr>
          <w:p w14:paraId="2FAD250B" w14:textId="67A9F84A" w:rsidR="00161DAC" w:rsidRPr="004E1DBD" w:rsidRDefault="00161DAC" w:rsidP="00465B3C">
            <w:pPr>
              <w:spacing w:before="60" w:after="60"/>
              <w:rPr>
                <w:rFonts w:eastAsia="Times New Roman" w:cs="Arial"/>
                <w:sz w:val="20"/>
                <w:szCs w:val="20"/>
                <w:lang w:eastAsia="en-GB"/>
              </w:rPr>
            </w:pPr>
            <w:r w:rsidRPr="004E1DBD">
              <w:rPr>
                <w:rFonts w:cs="Arial"/>
                <w:sz w:val="20"/>
                <w:szCs w:val="20"/>
              </w:rPr>
              <w:t>Chocolate &amp; cocoa products</w:t>
            </w:r>
          </w:p>
        </w:tc>
        <w:tc>
          <w:tcPr>
            <w:tcW w:w="1560" w:type="dxa"/>
            <w:noWrap/>
            <w:vAlign w:val="bottom"/>
            <w:hideMark/>
          </w:tcPr>
          <w:p w14:paraId="2072DC3B" w14:textId="6C8D0A4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550</w:t>
            </w:r>
          </w:p>
        </w:tc>
        <w:tc>
          <w:tcPr>
            <w:tcW w:w="1701" w:type="dxa"/>
            <w:noWrap/>
            <w:vAlign w:val="bottom"/>
            <w:hideMark/>
          </w:tcPr>
          <w:p w14:paraId="717796FA" w14:textId="36564EF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426.8</w:t>
            </w:r>
          </w:p>
        </w:tc>
        <w:tc>
          <w:tcPr>
            <w:tcW w:w="1931" w:type="dxa"/>
            <w:noWrap/>
            <w:vAlign w:val="bottom"/>
            <w:hideMark/>
          </w:tcPr>
          <w:p w14:paraId="13E7E2F8" w14:textId="5DC82998"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22.4</w:t>
            </w:r>
          </w:p>
        </w:tc>
      </w:tr>
      <w:tr w:rsidR="00161DAC" w:rsidRPr="004E1DBD" w14:paraId="306CD5A1"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540F6CAD" w14:textId="0837BFDD" w:rsidR="00161DAC" w:rsidRPr="004E1DBD" w:rsidRDefault="00161DAC" w:rsidP="00465B3C">
            <w:pPr>
              <w:spacing w:before="60" w:after="60"/>
              <w:rPr>
                <w:rFonts w:eastAsia="Times New Roman" w:cs="Arial"/>
                <w:sz w:val="20"/>
                <w:szCs w:val="20"/>
                <w:lang w:eastAsia="en-GB"/>
              </w:rPr>
            </w:pPr>
            <w:r w:rsidRPr="004E1DBD">
              <w:rPr>
                <w:rFonts w:cs="Arial"/>
                <w:sz w:val="20"/>
                <w:szCs w:val="20"/>
              </w:rPr>
              <w:t>5.2</w:t>
            </w:r>
          </w:p>
        </w:tc>
        <w:tc>
          <w:tcPr>
            <w:tcW w:w="3739" w:type="dxa"/>
            <w:noWrap/>
            <w:vAlign w:val="bottom"/>
            <w:hideMark/>
          </w:tcPr>
          <w:p w14:paraId="6EC907A1" w14:textId="7BE8A93C" w:rsidR="00161DAC" w:rsidRPr="004E1DBD" w:rsidRDefault="00161DAC" w:rsidP="00465B3C">
            <w:pPr>
              <w:spacing w:before="60" w:after="60"/>
              <w:rPr>
                <w:rFonts w:eastAsia="Times New Roman" w:cs="Arial"/>
                <w:sz w:val="20"/>
                <w:szCs w:val="20"/>
                <w:lang w:eastAsia="en-GB"/>
              </w:rPr>
            </w:pPr>
            <w:r w:rsidRPr="004E1DBD">
              <w:rPr>
                <w:rFonts w:cs="Arial"/>
                <w:sz w:val="20"/>
                <w:szCs w:val="20"/>
              </w:rPr>
              <w:t>Sugar confectionery</w:t>
            </w:r>
          </w:p>
        </w:tc>
        <w:tc>
          <w:tcPr>
            <w:tcW w:w="1931" w:type="dxa"/>
            <w:noWrap/>
            <w:vAlign w:val="bottom"/>
            <w:hideMark/>
          </w:tcPr>
          <w:p w14:paraId="3136A313" w14:textId="5B2CE8F3" w:rsidR="00161DAC" w:rsidRPr="004E1DBD" w:rsidRDefault="00161DAC" w:rsidP="00465B3C">
            <w:pPr>
              <w:spacing w:before="60" w:after="60"/>
              <w:rPr>
                <w:rFonts w:eastAsia="Times New Roman" w:cs="Arial"/>
                <w:sz w:val="20"/>
                <w:szCs w:val="20"/>
                <w:lang w:eastAsia="en-GB"/>
              </w:rPr>
            </w:pPr>
            <w:r w:rsidRPr="004E1DBD">
              <w:rPr>
                <w:rFonts w:cs="Arial"/>
                <w:sz w:val="20"/>
                <w:szCs w:val="20"/>
              </w:rPr>
              <w:t>5.2</w:t>
            </w:r>
          </w:p>
        </w:tc>
        <w:tc>
          <w:tcPr>
            <w:tcW w:w="2976" w:type="dxa"/>
            <w:noWrap/>
            <w:vAlign w:val="bottom"/>
            <w:hideMark/>
          </w:tcPr>
          <w:p w14:paraId="181AE5D9" w14:textId="243CAE2E" w:rsidR="00161DAC" w:rsidRPr="004E1DBD" w:rsidRDefault="00161DAC" w:rsidP="00465B3C">
            <w:pPr>
              <w:spacing w:before="60" w:after="60"/>
              <w:rPr>
                <w:rFonts w:eastAsia="Times New Roman" w:cs="Arial"/>
                <w:sz w:val="20"/>
                <w:szCs w:val="20"/>
                <w:lang w:eastAsia="en-GB"/>
              </w:rPr>
            </w:pPr>
            <w:r w:rsidRPr="004E1DBD">
              <w:rPr>
                <w:rFonts w:cs="Arial"/>
                <w:sz w:val="20"/>
                <w:szCs w:val="20"/>
              </w:rPr>
              <w:t>Sugar confectionery</w:t>
            </w:r>
          </w:p>
        </w:tc>
        <w:tc>
          <w:tcPr>
            <w:tcW w:w="1560" w:type="dxa"/>
            <w:noWrap/>
            <w:vAlign w:val="bottom"/>
            <w:hideMark/>
          </w:tcPr>
          <w:p w14:paraId="5AF0766B" w14:textId="702407D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1100</w:t>
            </w:r>
          </w:p>
        </w:tc>
        <w:tc>
          <w:tcPr>
            <w:tcW w:w="1701" w:type="dxa"/>
            <w:noWrap/>
            <w:vAlign w:val="bottom"/>
            <w:hideMark/>
          </w:tcPr>
          <w:p w14:paraId="55FBD6BD" w14:textId="04241FF2"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900.9</w:t>
            </w:r>
          </w:p>
        </w:tc>
        <w:tc>
          <w:tcPr>
            <w:tcW w:w="1931" w:type="dxa"/>
            <w:noWrap/>
            <w:vAlign w:val="bottom"/>
            <w:hideMark/>
          </w:tcPr>
          <w:p w14:paraId="3969F1C5" w14:textId="4D77CE72"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18.1</w:t>
            </w:r>
          </w:p>
        </w:tc>
      </w:tr>
      <w:tr w:rsidR="00161DAC" w:rsidRPr="004E1DBD" w14:paraId="23DA4F4B"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5A4C4AC4" w14:textId="67D0B9E1" w:rsidR="00161DAC" w:rsidRPr="004E1DBD" w:rsidRDefault="00161DAC" w:rsidP="00465B3C">
            <w:pPr>
              <w:spacing w:before="60" w:after="60"/>
              <w:rPr>
                <w:rFonts w:eastAsia="Times New Roman" w:cs="Arial"/>
                <w:sz w:val="20"/>
                <w:szCs w:val="20"/>
                <w:lang w:eastAsia="en-GB"/>
              </w:rPr>
            </w:pPr>
            <w:r w:rsidRPr="004E1DBD">
              <w:rPr>
                <w:rFonts w:cs="Arial"/>
                <w:sz w:val="20"/>
                <w:szCs w:val="20"/>
              </w:rPr>
              <w:t>6.3</w:t>
            </w:r>
          </w:p>
        </w:tc>
        <w:tc>
          <w:tcPr>
            <w:tcW w:w="3739" w:type="dxa"/>
            <w:noWrap/>
            <w:vAlign w:val="bottom"/>
            <w:hideMark/>
          </w:tcPr>
          <w:p w14:paraId="3BDD33C5" w14:textId="04BEA3C3" w:rsidR="00161DAC" w:rsidRPr="004E1DBD" w:rsidRDefault="00161DAC" w:rsidP="00465B3C">
            <w:pPr>
              <w:spacing w:before="60" w:after="60"/>
              <w:rPr>
                <w:rFonts w:eastAsia="Times New Roman" w:cs="Arial"/>
                <w:sz w:val="20"/>
                <w:szCs w:val="20"/>
                <w:lang w:eastAsia="en-GB"/>
              </w:rPr>
            </w:pPr>
            <w:r w:rsidRPr="004E1DBD">
              <w:rPr>
                <w:rFonts w:cs="Arial"/>
                <w:sz w:val="20"/>
                <w:szCs w:val="20"/>
              </w:rPr>
              <w:t>Processed cereal and meal products</w:t>
            </w:r>
          </w:p>
        </w:tc>
        <w:tc>
          <w:tcPr>
            <w:tcW w:w="1931" w:type="dxa"/>
            <w:noWrap/>
            <w:vAlign w:val="bottom"/>
            <w:hideMark/>
          </w:tcPr>
          <w:p w14:paraId="3017DBFE" w14:textId="453E84AB" w:rsidR="00161DAC" w:rsidRPr="004E1DBD" w:rsidRDefault="00161DAC" w:rsidP="00465B3C">
            <w:pPr>
              <w:spacing w:before="60" w:after="60"/>
              <w:rPr>
                <w:rFonts w:eastAsia="Times New Roman" w:cs="Arial"/>
                <w:sz w:val="20"/>
                <w:szCs w:val="20"/>
                <w:lang w:eastAsia="en-GB"/>
              </w:rPr>
            </w:pPr>
            <w:r w:rsidRPr="004E1DBD">
              <w:rPr>
                <w:rFonts w:cs="Arial"/>
                <w:sz w:val="20"/>
                <w:szCs w:val="20"/>
              </w:rPr>
              <w:t>6.3</w:t>
            </w:r>
          </w:p>
        </w:tc>
        <w:tc>
          <w:tcPr>
            <w:tcW w:w="2976" w:type="dxa"/>
            <w:noWrap/>
            <w:vAlign w:val="bottom"/>
            <w:hideMark/>
          </w:tcPr>
          <w:p w14:paraId="1E5F676F" w14:textId="31F5ADA8" w:rsidR="00161DAC" w:rsidRPr="004E1DBD" w:rsidRDefault="00161DAC" w:rsidP="00465B3C">
            <w:pPr>
              <w:spacing w:before="60" w:after="60"/>
              <w:rPr>
                <w:rFonts w:eastAsia="Times New Roman" w:cs="Arial"/>
                <w:sz w:val="20"/>
                <w:szCs w:val="20"/>
                <w:lang w:eastAsia="en-GB"/>
              </w:rPr>
            </w:pPr>
            <w:r w:rsidRPr="004E1DBD">
              <w:rPr>
                <w:rFonts w:cs="Arial"/>
                <w:sz w:val="20"/>
                <w:szCs w:val="20"/>
              </w:rPr>
              <w:t>Processed cereal &amp; meal products</w:t>
            </w:r>
          </w:p>
        </w:tc>
        <w:tc>
          <w:tcPr>
            <w:tcW w:w="1560" w:type="dxa"/>
            <w:noWrap/>
            <w:vAlign w:val="bottom"/>
            <w:hideMark/>
          </w:tcPr>
          <w:p w14:paraId="4D0FBDBA" w14:textId="4AED7AC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250</w:t>
            </w:r>
          </w:p>
        </w:tc>
        <w:tc>
          <w:tcPr>
            <w:tcW w:w="1701" w:type="dxa"/>
            <w:noWrap/>
            <w:vAlign w:val="bottom"/>
            <w:hideMark/>
          </w:tcPr>
          <w:p w14:paraId="6FEE6F72" w14:textId="7097BAA8"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94.8</w:t>
            </w:r>
          </w:p>
        </w:tc>
        <w:tc>
          <w:tcPr>
            <w:tcW w:w="1931" w:type="dxa"/>
            <w:noWrap/>
            <w:vAlign w:val="bottom"/>
            <w:hideMark/>
          </w:tcPr>
          <w:p w14:paraId="29365151" w14:textId="1BB77358"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62.1</w:t>
            </w:r>
          </w:p>
        </w:tc>
      </w:tr>
      <w:tr w:rsidR="00161DAC" w:rsidRPr="004E1DBD" w14:paraId="2F11D1F9"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0920B2F0" w14:textId="74B9EC9F" w:rsidR="00161DAC" w:rsidRPr="004E1DBD" w:rsidRDefault="00161DAC" w:rsidP="00465B3C">
            <w:pPr>
              <w:spacing w:before="60" w:after="60"/>
              <w:rPr>
                <w:rFonts w:eastAsia="Times New Roman" w:cs="Arial"/>
                <w:sz w:val="20"/>
                <w:szCs w:val="20"/>
                <w:lang w:eastAsia="en-GB"/>
              </w:rPr>
            </w:pPr>
            <w:r w:rsidRPr="004E1DBD">
              <w:rPr>
                <w:rFonts w:cs="Arial"/>
                <w:sz w:val="20"/>
                <w:szCs w:val="20"/>
              </w:rPr>
              <w:t>7.1.1</w:t>
            </w:r>
          </w:p>
        </w:tc>
        <w:tc>
          <w:tcPr>
            <w:tcW w:w="3739" w:type="dxa"/>
            <w:noWrap/>
            <w:vAlign w:val="bottom"/>
            <w:hideMark/>
          </w:tcPr>
          <w:p w14:paraId="467D47A0" w14:textId="5FD53DFF" w:rsidR="00161DAC" w:rsidRPr="004E1DBD" w:rsidRDefault="00161DAC" w:rsidP="00465B3C">
            <w:pPr>
              <w:spacing w:before="60" w:after="60"/>
              <w:rPr>
                <w:rFonts w:eastAsia="Times New Roman" w:cs="Arial"/>
                <w:sz w:val="20"/>
                <w:szCs w:val="20"/>
                <w:lang w:eastAsia="en-GB"/>
              </w:rPr>
            </w:pPr>
            <w:r w:rsidRPr="004E1DBD">
              <w:rPr>
                <w:rFonts w:cs="Arial"/>
                <w:sz w:val="20"/>
                <w:szCs w:val="20"/>
              </w:rPr>
              <w:t>Fancy breads</w:t>
            </w:r>
          </w:p>
        </w:tc>
        <w:tc>
          <w:tcPr>
            <w:tcW w:w="1931" w:type="dxa"/>
            <w:noWrap/>
            <w:vAlign w:val="bottom"/>
            <w:hideMark/>
          </w:tcPr>
          <w:p w14:paraId="4F31A5EF" w14:textId="42001DCB" w:rsidR="00161DAC" w:rsidRPr="004E1DBD" w:rsidRDefault="00161DAC" w:rsidP="00465B3C">
            <w:pPr>
              <w:spacing w:before="60" w:after="60"/>
              <w:rPr>
                <w:rFonts w:eastAsia="Times New Roman" w:cs="Arial"/>
                <w:sz w:val="20"/>
                <w:szCs w:val="20"/>
                <w:lang w:eastAsia="en-GB"/>
              </w:rPr>
            </w:pPr>
            <w:r w:rsidRPr="004E1DBD">
              <w:rPr>
                <w:rFonts w:cs="Arial"/>
                <w:sz w:val="20"/>
                <w:szCs w:val="20"/>
              </w:rPr>
              <w:t>7.1.4</w:t>
            </w:r>
          </w:p>
        </w:tc>
        <w:tc>
          <w:tcPr>
            <w:tcW w:w="2976" w:type="dxa"/>
            <w:noWrap/>
            <w:vAlign w:val="bottom"/>
            <w:hideMark/>
          </w:tcPr>
          <w:p w14:paraId="3EB78F60" w14:textId="6EE155F3" w:rsidR="00161DAC" w:rsidRPr="004E1DBD" w:rsidRDefault="00161DAC" w:rsidP="00465B3C">
            <w:pPr>
              <w:spacing w:before="60" w:after="60"/>
              <w:rPr>
                <w:rFonts w:eastAsia="Times New Roman" w:cs="Arial"/>
                <w:sz w:val="20"/>
                <w:szCs w:val="20"/>
                <w:lang w:eastAsia="en-GB"/>
              </w:rPr>
            </w:pPr>
            <w:r w:rsidRPr="004E1DBD">
              <w:rPr>
                <w:rFonts w:cs="Arial"/>
                <w:sz w:val="20"/>
                <w:szCs w:val="20"/>
              </w:rPr>
              <w:t>Fancy breads</w:t>
            </w:r>
          </w:p>
        </w:tc>
        <w:tc>
          <w:tcPr>
            <w:tcW w:w="1560" w:type="dxa"/>
            <w:noWrap/>
            <w:vAlign w:val="bottom"/>
            <w:hideMark/>
          </w:tcPr>
          <w:p w14:paraId="23042FA4" w14:textId="242B8582"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160</w:t>
            </w:r>
          </w:p>
        </w:tc>
        <w:tc>
          <w:tcPr>
            <w:tcW w:w="1701" w:type="dxa"/>
            <w:noWrap/>
            <w:vAlign w:val="bottom"/>
            <w:hideMark/>
          </w:tcPr>
          <w:p w14:paraId="72A47147" w14:textId="02EE6131"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160</w:t>
            </w:r>
          </w:p>
        </w:tc>
        <w:tc>
          <w:tcPr>
            <w:tcW w:w="1931" w:type="dxa"/>
            <w:noWrap/>
            <w:vAlign w:val="bottom"/>
            <w:hideMark/>
          </w:tcPr>
          <w:p w14:paraId="299AB4AB" w14:textId="69C99083"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0</w:t>
            </w:r>
          </w:p>
        </w:tc>
      </w:tr>
      <w:tr w:rsidR="00161DAC" w:rsidRPr="004E1DBD" w14:paraId="56054C7B"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59B10CBB" w14:textId="322A877A" w:rsidR="00161DAC" w:rsidRPr="004E1DBD" w:rsidRDefault="00161DAC" w:rsidP="00465B3C">
            <w:pPr>
              <w:spacing w:before="60" w:after="60"/>
              <w:rPr>
                <w:rFonts w:eastAsia="Times New Roman" w:cs="Arial"/>
                <w:sz w:val="20"/>
                <w:szCs w:val="20"/>
                <w:lang w:eastAsia="en-GB"/>
              </w:rPr>
            </w:pPr>
            <w:r w:rsidRPr="004E1DBD">
              <w:rPr>
                <w:rFonts w:cs="Arial"/>
                <w:sz w:val="20"/>
                <w:szCs w:val="20"/>
              </w:rPr>
              <w:t>7.2</w:t>
            </w:r>
          </w:p>
        </w:tc>
        <w:tc>
          <w:tcPr>
            <w:tcW w:w="3739" w:type="dxa"/>
            <w:noWrap/>
            <w:vAlign w:val="bottom"/>
            <w:hideMark/>
          </w:tcPr>
          <w:p w14:paraId="78424283" w14:textId="1757C5BE" w:rsidR="00161DAC" w:rsidRPr="004E1DBD" w:rsidRDefault="00161DAC" w:rsidP="00465B3C">
            <w:pPr>
              <w:spacing w:before="60" w:after="60"/>
              <w:rPr>
                <w:rFonts w:eastAsia="Times New Roman" w:cs="Arial"/>
                <w:sz w:val="20"/>
                <w:szCs w:val="20"/>
                <w:lang w:eastAsia="en-GB"/>
              </w:rPr>
            </w:pPr>
            <w:r w:rsidRPr="004E1DBD">
              <w:rPr>
                <w:rFonts w:cs="Arial"/>
                <w:sz w:val="20"/>
                <w:szCs w:val="20"/>
              </w:rPr>
              <w:t>Biscuits, cakes and pastries</w:t>
            </w:r>
          </w:p>
        </w:tc>
        <w:tc>
          <w:tcPr>
            <w:tcW w:w="1931" w:type="dxa"/>
            <w:noWrap/>
            <w:vAlign w:val="bottom"/>
            <w:hideMark/>
          </w:tcPr>
          <w:p w14:paraId="20FEA0F7" w14:textId="2FF4F4D0" w:rsidR="00161DAC" w:rsidRPr="004E1DBD" w:rsidRDefault="00161DAC" w:rsidP="00465B3C">
            <w:pPr>
              <w:spacing w:before="60" w:after="60"/>
              <w:rPr>
                <w:rFonts w:eastAsia="Times New Roman" w:cs="Arial"/>
                <w:sz w:val="20"/>
                <w:szCs w:val="20"/>
                <w:lang w:eastAsia="en-GB"/>
              </w:rPr>
            </w:pPr>
            <w:r w:rsidRPr="004E1DBD">
              <w:rPr>
                <w:rFonts w:cs="Arial"/>
                <w:sz w:val="20"/>
                <w:szCs w:val="20"/>
              </w:rPr>
              <w:t>7.2</w:t>
            </w:r>
          </w:p>
        </w:tc>
        <w:tc>
          <w:tcPr>
            <w:tcW w:w="2976" w:type="dxa"/>
            <w:noWrap/>
            <w:vAlign w:val="bottom"/>
            <w:hideMark/>
          </w:tcPr>
          <w:p w14:paraId="6371E37E" w14:textId="0C55BCDB" w:rsidR="00161DAC" w:rsidRPr="004E1DBD" w:rsidRDefault="00161DAC" w:rsidP="00465B3C">
            <w:pPr>
              <w:spacing w:before="60" w:after="60"/>
              <w:rPr>
                <w:rFonts w:eastAsia="Times New Roman" w:cs="Arial"/>
                <w:sz w:val="20"/>
                <w:szCs w:val="20"/>
                <w:lang w:eastAsia="en-GB"/>
              </w:rPr>
            </w:pPr>
            <w:r w:rsidRPr="004E1DBD">
              <w:rPr>
                <w:rFonts w:cs="Arial"/>
                <w:sz w:val="20"/>
                <w:szCs w:val="20"/>
              </w:rPr>
              <w:t>Biscuits, crackers, cakes, pastries &amp; scones</w:t>
            </w:r>
          </w:p>
        </w:tc>
        <w:tc>
          <w:tcPr>
            <w:tcW w:w="1560" w:type="dxa"/>
            <w:noWrap/>
            <w:vAlign w:val="bottom"/>
            <w:hideMark/>
          </w:tcPr>
          <w:p w14:paraId="233148B8" w14:textId="7AD6DEE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160</w:t>
            </w:r>
          </w:p>
        </w:tc>
        <w:tc>
          <w:tcPr>
            <w:tcW w:w="1701" w:type="dxa"/>
            <w:noWrap/>
            <w:vAlign w:val="bottom"/>
            <w:hideMark/>
          </w:tcPr>
          <w:p w14:paraId="34BF7C8F" w14:textId="5EF46DE6"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151.4</w:t>
            </w:r>
          </w:p>
        </w:tc>
        <w:tc>
          <w:tcPr>
            <w:tcW w:w="1931" w:type="dxa"/>
            <w:noWrap/>
            <w:vAlign w:val="bottom"/>
            <w:hideMark/>
          </w:tcPr>
          <w:p w14:paraId="311A38E4" w14:textId="5B24634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5.4</w:t>
            </w:r>
          </w:p>
        </w:tc>
      </w:tr>
      <w:tr w:rsidR="00161DAC" w:rsidRPr="004E1DBD" w14:paraId="6BAB6FA2"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2453F9BB" w14:textId="3C1777AB" w:rsidR="00161DAC" w:rsidRPr="004E1DBD" w:rsidRDefault="00161DAC" w:rsidP="00465B3C">
            <w:pPr>
              <w:spacing w:before="60" w:after="60"/>
              <w:rPr>
                <w:rFonts w:eastAsia="Times New Roman" w:cs="Arial"/>
                <w:sz w:val="20"/>
                <w:szCs w:val="20"/>
                <w:lang w:eastAsia="en-GB"/>
              </w:rPr>
            </w:pPr>
            <w:r w:rsidRPr="004E1DBD">
              <w:rPr>
                <w:rFonts w:cs="Arial"/>
                <w:sz w:val="20"/>
                <w:szCs w:val="20"/>
              </w:rPr>
              <w:t>11.4</w:t>
            </w:r>
          </w:p>
        </w:tc>
        <w:tc>
          <w:tcPr>
            <w:tcW w:w="3739" w:type="dxa"/>
            <w:noWrap/>
            <w:vAlign w:val="bottom"/>
            <w:hideMark/>
          </w:tcPr>
          <w:p w14:paraId="44A035C1" w14:textId="74CE5C8D" w:rsidR="00161DAC" w:rsidRPr="004E1DBD" w:rsidRDefault="00161DAC" w:rsidP="00465B3C">
            <w:pPr>
              <w:spacing w:before="60" w:after="60"/>
              <w:rPr>
                <w:rFonts w:eastAsia="Times New Roman" w:cs="Arial"/>
                <w:sz w:val="20"/>
                <w:szCs w:val="20"/>
                <w:lang w:eastAsia="en-GB"/>
              </w:rPr>
            </w:pPr>
            <w:r w:rsidRPr="004E1DBD">
              <w:rPr>
                <w:rFonts w:cs="Arial"/>
                <w:sz w:val="20"/>
                <w:szCs w:val="20"/>
              </w:rPr>
              <w:t>Tabletop sweeteners</w:t>
            </w:r>
          </w:p>
        </w:tc>
        <w:tc>
          <w:tcPr>
            <w:tcW w:w="1931" w:type="dxa"/>
            <w:noWrap/>
            <w:vAlign w:val="bottom"/>
            <w:hideMark/>
          </w:tcPr>
          <w:p w14:paraId="513AF724" w14:textId="38534343" w:rsidR="00161DAC" w:rsidRPr="004E1DBD" w:rsidRDefault="00161DAC" w:rsidP="00465B3C">
            <w:pPr>
              <w:spacing w:before="60" w:after="60"/>
              <w:rPr>
                <w:rFonts w:eastAsia="Times New Roman" w:cs="Arial"/>
                <w:sz w:val="20"/>
                <w:szCs w:val="20"/>
                <w:lang w:eastAsia="en-GB"/>
              </w:rPr>
            </w:pPr>
            <w:r w:rsidRPr="004E1DBD">
              <w:rPr>
                <w:rFonts w:cs="Arial"/>
                <w:sz w:val="20"/>
                <w:szCs w:val="20"/>
              </w:rPr>
              <w:t>11.4</w:t>
            </w:r>
          </w:p>
        </w:tc>
        <w:tc>
          <w:tcPr>
            <w:tcW w:w="2976" w:type="dxa"/>
            <w:noWrap/>
            <w:vAlign w:val="bottom"/>
            <w:hideMark/>
          </w:tcPr>
          <w:p w14:paraId="5E280B99" w14:textId="0812F9E0" w:rsidR="00161DAC" w:rsidRPr="004E1DBD" w:rsidRDefault="00161DAC" w:rsidP="00465B3C">
            <w:pPr>
              <w:spacing w:before="60" w:after="60"/>
              <w:rPr>
                <w:rFonts w:eastAsia="Times New Roman" w:cs="Arial"/>
                <w:sz w:val="20"/>
                <w:szCs w:val="20"/>
                <w:lang w:eastAsia="en-GB"/>
              </w:rPr>
            </w:pPr>
            <w:r w:rsidRPr="004E1DBD">
              <w:rPr>
                <w:rFonts w:cs="Arial"/>
                <w:sz w:val="20"/>
                <w:szCs w:val="20"/>
              </w:rPr>
              <w:t>Tabletop sweeteners</w:t>
            </w:r>
          </w:p>
        </w:tc>
        <w:tc>
          <w:tcPr>
            <w:tcW w:w="1560" w:type="dxa"/>
            <w:noWrap/>
            <w:vAlign w:val="bottom"/>
            <w:hideMark/>
          </w:tcPr>
          <w:p w14:paraId="4151DF86" w14:textId="7B47156A"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400000</w:t>
            </w:r>
          </w:p>
        </w:tc>
        <w:tc>
          <w:tcPr>
            <w:tcW w:w="1701" w:type="dxa"/>
            <w:noWrap/>
            <w:vAlign w:val="bottom"/>
            <w:hideMark/>
          </w:tcPr>
          <w:p w14:paraId="7CF8E394" w14:textId="2ACE198B"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400000</w:t>
            </w:r>
          </w:p>
        </w:tc>
        <w:tc>
          <w:tcPr>
            <w:tcW w:w="1931" w:type="dxa"/>
            <w:noWrap/>
            <w:vAlign w:val="bottom"/>
            <w:hideMark/>
          </w:tcPr>
          <w:p w14:paraId="733FA50A" w14:textId="5F42E500"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0</w:t>
            </w:r>
          </w:p>
        </w:tc>
      </w:tr>
      <w:tr w:rsidR="00161DAC" w:rsidRPr="004E1DBD" w14:paraId="3E11E9EE"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2AE6958F" w14:textId="656774F1" w:rsidR="00161DAC" w:rsidRPr="004E1DBD" w:rsidRDefault="00161DAC" w:rsidP="00465B3C">
            <w:pPr>
              <w:spacing w:before="60" w:after="60"/>
              <w:rPr>
                <w:rFonts w:eastAsia="Times New Roman" w:cs="Arial"/>
                <w:sz w:val="20"/>
                <w:szCs w:val="20"/>
                <w:lang w:eastAsia="en-GB"/>
              </w:rPr>
            </w:pPr>
            <w:r w:rsidRPr="004E1DBD">
              <w:rPr>
                <w:rFonts w:cs="Arial"/>
                <w:sz w:val="20"/>
                <w:szCs w:val="20"/>
              </w:rPr>
              <w:t>13.3</w:t>
            </w:r>
          </w:p>
        </w:tc>
        <w:tc>
          <w:tcPr>
            <w:tcW w:w="3739" w:type="dxa"/>
            <w:noWrap/>
            <w:vAlign w:val="bottom"/>
            <w:hideMark/>
          </w:tcPr>
          <w:p w14:paraId="6B046497" w14:textId="4DF73FC6" w:rsidR="00161DAC" w:rsidRPr="004E1DBD" w:rsidRDefault="00161DAC" w:rsidP="00465B3C">
            <w:pPr>
              <w:spacing w:before="60" w:after="60"/>
              <w:rPr>
                <w:rFonts w:eastAsia="Times New Roman" w:cs="Arial"/>
                <w:sz w:val="20"/>
                <w:szCs w:val="20"/>
                <w:lang w:eastAsia="en-GB"/>
              </w:rPr>
            </w:pPr>
            <w:r w:rsidRPr="004E1DBD">
              <w:rPr>
                <w:rFonts w:cs="Arial"/>
                <w:sz w:val="20"/>
                <w:szCs w:val="20"/>
              </w:rPr>
              <w:t>Formulated meal replacements and formulated supplementary foods</w:t>
            </w:r>
          </w:p>
        </w:tc>
        <w:tc>
          <w:tcPr>
            <w:tcW w:w="1931" w:type="dxa"/>
            <w:noWrap/>
            <w:vAlign w:val="bottom"/>
            <w:hideMark/>
          </w:tcPr>
          <w:p w14:paraId="2293E64D" w14:textId="0954B262" w:rsidR="00161DAC" w:rsidRPr="004E1DBD" w:rsidRDefault="00161DAC" w:rsidP="00465B3C">
            <w:pPr>
              <w:spacing w:before="60" w:after="60"/>
              <w:rPr>
                <w:rFonts w:eastAsia="Times New Roman" w:cs="Arial"/>
                <w:sz w:val="20"/>
                <w:szCs w:val="20"/>
                <w:lang w:eastAsia="en-GB"/>
              </w:rPr>
            </w:pPr>
            <w:r w:rsidRPr="004E1DBD">
              <w:rPr>
                <w:rFonts w:cs="Arial"/>
                <w:sz w:val="20"/>
                <w:szCs w:val="20"/>
              </w:rPr>
              <w:t>13.3</w:t>
            </w:r>
          </w:p>
        </w:tc>
        <w:tc>
          <w:tcPr>
            <w:tcW w:w="2976" w:type="dxa"/>
            <w:noWrap/>
            <w:vAlign w:val="bottom"/>
            <w:hideMark/>
          </w:tcPr>
          <w:p w14:paraId="1EF6CBC0" w14:textId="2CF7D171" w:rsidR="00161DAC" w:rsidRPr="004E1DBD" w:rsidRDefault="00161DAC" w:rsidP="00465B3C">
            <w:pPr>
              <w:spacing w:before="60" w:after="60"/>
              <w:rPr>
                <w:rFonts w:eastAsia="Times New Roman" w:cs="Arial"/>
                <w:sz w:val="20"/>
                <w:szCs w:val="20"/>
                <w:lang w:eastAsia="en-GB"/>
              </w:rPr>
            </w:pPr>
            <w:r w:rsidRPr="004E1DBD">
              <w:rPr>
                <w:rFonts w:cs="Arial"/>
                <w:sz w:val="20"/>
                <w:szCs w:val="20"/>
              </w:rPr>
              <w:t>Formula meal replacements &amp; formulated supp foods</w:t>
            </w:r>
          </w:p>
        </w:tc>
        <w:tc>
          <w:tcPr>
            <w:tcW w:w="1560" w:type="dxa"/>
            <w:noWrap/>
            <w:vAlign w:val="bottom"/>
            <w:hideMark/>
          </w:tcPr>
          <w:p w14:paraId="7CF34BEE" w14:textId="0F12F13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175</w:t>
            </w:r>
          </w:p>
        </w:tc>
        <w:tc>
          <w:tcPr>
            <w:tcW w:w="1701" w:type="dxa"/>
            <w:noWrap/>
            <w:vAlign w:val="bottom"/>
            <w:hideMark/>
          </w:tcPr>
          <w:p w14:paraId="1CB4D8BB" w14:textId="4ACB97F2"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145.3</w:t>
            </w:r>
          </w:p>
        </w:tc>
        <w:tc>
          <w:tcPr>
            <w:tcW w:w="1931" w:type="dxa"/>
            <w:noWrap/>
            <w:vAlign w:val="bottom"/>
            <w:hideMark/>
          </w:tcPr>
          <w:p w14:paraId="60EB4DBB" w14:textId="79A93E81"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17</w:t>
            </w:r>
          </w:p>
        </w:tc>
      </w:tr>
      <w:tr w:rsidR="00161DAC" w:rsidRPr="004E1DBD" w14:paraId="2EBB9005"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504837FC" w14:textId="7B1A03AE" w:rsidR="00161DAC" w:rsidRPr="004E1DBD" w:rsidRDefault="00161DAC" w:rsidP="00465B3C">
            <w:pPr>
              <w:spacing w:before="60" w:after="60"/>
              <w:rPr>
                <w:rFonts w:eastAsia="Times New Roman" w:cs="Arial"/>
                <w:sz w:val="20"/>
                <w:szCs w:val="20"/>
                <w:lang w:eastAsia="en-GB"/>
              </w:rPr>
            </w:pPr>
            <w:r w:rsidRPr="004E1DBD">
              <w:rPr>
                <w:rFonts w:cs="Arial"/>
                <w:sz w:val="20"/>
                <w:szCs w:val="20"/>
              </w:rPr>
              <w:lastRenderedPageBreak/>
              <w:t>13.4</w:t>
            </w:r>
          </w:p>
        </w:tc>
        <w:tc>
          <w:tcPr>
            <w:tcW w:w="3739" w:type="dxa"/>
            <w:noWrap/>
            <w:vAlign w:val="bottom"/>
            <w:hideMark/>
          </w:tcPr>
          <w:p w14:paraId="7D98A74B" w14:textId="5E36F114" w:rsidR="00161DAC" w:rsidRPr="004E1DBD" w:rsidRDefault="00161DAC" w:rsidP="00465B3C">
            <w:pPr>
              <w:spacing w:before="60" w:after="60"/>
              <w:rPr>
                <w:rFonts w:eastAsia="Times New Roman" w:cs="Arial"/>
                <w:sz w:val="20"/>
                <w:szCs w:val="20"/>
                <w:lang w:eastAsia="en-GB"/>
              </w:rPr>
            </w:pPr>
            <w:r w:rsidRPr="004E1DBD">
              <w:rPr>
                <w:rFonts w:cs="Arial"/>
                <w:sz w:val="20"/>
                <w:szCs w:val="20"/>
              </w:rPr>
              <w:t>Formulated supplementary sports foods</w:t>
            </w:r>
          </w:p>
        </w:tc>
        <w:tc>
          <w:tcPr>
            <w:tcW w:w="1931" w:type="dxa"/>
            <w:noWrap/>
            <w:vAlign w:val="bottom"/>
            <w:hideMark/>
          </w:tcPr>
          <w:p w14:paraId="6456E5E6" w14:textId="271DD1AC" w:rsidR="00161DAC" w:rsidRPr="004E1DBD" w:rsidRDefault="00161DAC" w:rsidP="00465B3C">
            <w:pPr>
              <w:spacing w:before="60" w:after="60"/>
              <w:rPr>
                <w:rFonts w:eastAsia="Times New Roman" w:cs="Arial"/>
                <w:sz w:val="20"/>
                <w:szCs w:val="20"/>
                <w:lang w:eastAsia="en-GB"/>
              </w:rPr>
            </w:pPr>
            <w:r w:rsidRPr="004E1DBD">
              <w:rPr>
                <w:rFonts w:cs="Arial"/>
                <w:sz w:val="20"/>
                <w:szCs w:val="20"/>
              </w:rPr>
              <w:t>13.4</w:t>
            </w:r>
          </w:p>
        </w:tc>
        <w:tc>
          <w:tcPr>
            <w:tcW w:w="2976" w:type="dxa"/>
            <w:noWrap/>
            <w:vAlign w:val="bottom"/>
            <w:hideMark/>
          </w:tcPr>
          <w:p w14:paraId="74BE99EB" w14:textId="5C6F3CA2" w:rsidR="00161DAC" w:rsidRPr="004E1DBD" w:rsidRDefault="00161DAC" w:rsidP="00465B3C">
            <w:pPr>
              <w:spacing w:before="60" w:after="60"/>
              <w:rPr>
                <w:rFonts w:eastAsia="Times New Roman" w:cs="Arial"/>
                <w:sz w:val="20"/>
                <w:szCs w:val="20"/>
                <w:lang w:eastAsia="en-GB"/>
              </w:rPr>
            </w:pPr>
            <w:r w:rsidRPr="004E1DBD">
              <w:rPr>
                <w:rFonts w:cs="Arial"/>
                <w:sz w:val="20"/>
                <w:szCs w:val="20"/>
              </w:rPr>
              <w:t>Formulated supplementary sports foods</w:t>
            </w:r>
          </w:p>
        </w:tc>
        <w:tc>
          <w:tcPr>
            <w:tcW w:w="1560" w:type="dxa"/>
            <w:noWrap/>
            <w:vAlign w:val="bottom"/>
            <w:hideMark/>
          </w:tcPr>
          <w:p w14:paraId="4F23C5C1" w14:textId="73DA7361"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175</w:t>
            </w:r>
          </w:p>
        </w:tc>
        <w:tc>
          <w:tcPr>
            <w:tcW w:w="1701" w:type="dxa"/>
            <w:noWrap/>
            <w:vAlign w:val="bottom"/>
            <w:hideMark/>
          </w:tcPr>
          <w:p w14:paraId="2A6660D8" w14:textId="1467163B"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175</w:t>
            </w:r>
          </w:p>
        </w:tc>
        <w:tc>
          <w:tcPr>
            <w:tcW w:w="1931" w:type="dxa"/>
            <w:noWrap/>
            <w:vAlign w:val="bottom"/>
            <w:hideMark/>
          </w:tcPr>
          <w:p w14:paraId="349E0F3E" w14:textId="3298572F"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0</w:t>
            </w:r>
          </w:p>
        </w:tc>
      </w:tr>
      <w:tr w:rsidR="00161DAC" w:rsidRPr="004E1DBD" w14:paraId="70E6B8A1"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6C90E921" w14:textId="7D3646EA"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14.1.2.1</w:t>
            </w:r>
          </w:p>
        </w:tc>
        <w:tc>
          <w:tcPr>
            <w:tcW w:w="3739" w:type="dxa"/>
            <w:noWrap/>
            <w:vAlign w:val="bottom"/>
            <w:hideMark/>
          </w:tcPr>
          <w:p w14:paraId="0E4C849D" w14:textId="3709070F"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 and vegetable juices</w:t>
            </w:r>
          </w:p>
        </w:tc>
        <w:tc>
          <w:tcPr>
            <w:tcW w:w="1931" w:type="dxa"/>
            <w:noWrap/>
            <w:vAlign w:val="bottom"/>
            <w:hideMark/>
          </w:tcPr>
          <w:p w14:paraId="2888249F" w14:textId="47D60DAF"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14.1.2.1</w:t>
            </w:r>
          </w:p>
        </w:tc>
        <w:tc>
          <w:tcPr>
            <w:tcW w:w="2976" w:type="dxa"/>
            <w:noWrap/>
            <w:vAlign w:val="bottom"/>
            <w:hideMark/>
          </w:tcPr>
          <w:p w14:paraId="09F1BA56" w14:textId="64B3283B"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 &amp; vegetable juices</w:t>
            </w:r>
          </w:p>
        </w:tc>
        <w:tc>
          <w:tcPr>
            <w:tcW w:w="1560" w:type="dxa"/>
            <w:noWrap/>
            <w:vAlign w:val="bottom"/>
            <w:hideMark/>
          </w:tcPr>
          <w:p w14:paraId="19862F2A" w14:textId="5D02C3F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50</w:t>
            </w:r>
          </w:p>
        </w:tc>
        <w:tc>
          <w:tcPr>
            <w:tcW w:w="1701" w:type="dxa"/>
            <w:noWrap/>
            <w:vAlign w:val="bottom"/>
            <w:hideMark/>
          </w:tcPr>
          <w:p w14:paraId="4BCC2165" w14:textId="64016E8A"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16.1</w:t>
            </w:r>
          </w:p>
        </w:tc>
        <w:tc>
          <w:tcPr>
            <w:tcW w:w="1931" w:type="dxa"/>
            <w:noWrap/>
            <w:vAlign w:val="bottom"/>
            <w:hideMark/>
          </w:tcPr>
          <w:p w14:paraId="7129EFF0" w14:textId="16550468"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74.1</w:t>
            </w:r>
          </w:p>
        </w:tc>
      </w:tr>
      <w:tr w:rsidR="00161DAC" w:rsidRPr="004E1DBD" w14:paraId="25EBC93B"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5E45EECC" w14:textId="72378401"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14.1.2.2.1</w:t>
            </w:r>
          </w:p>
        </w:tc>
        <w:tc>
          <w:tcPr>
            <w:tcW w:w="3739" w:type="dxa"/>
            <w:noWrap/>
            <w:vAlign w:val="bottom"/>
            <w:hideMark/>
          </w:tcPr>
          <w:p w14:paraId="3BE7011E" w14:textId="07C907BD"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 Drink</w:t>
            </w:r>
          </w:p>
        </w:tc>
        <w:tc>
          <w:tcPr>
            <w:tcW w:w="1931" w:type="dxa"/>
            <w:noWrap/>
            <w:vAlign w:val="bottom"/>
            <w:hideMark/>
          </w:tcPr>
          <w:p w14:paraId="2822C327" w14:textId="4F51E3B9"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14.1.2.2.1</w:t>
            </w:r>
          </w:p>
        </w:tc>
        <w:tc>
          <w:tcPr>
            <w:tcW w:w="2976" w:type="dxa"/>
            <w:noWrap/>
            <w:vAlign w:val="bottom"/>
            <w:hideMark/>
          </w:tcPr>
          <w:p w14:paraId="58A56E2E" w14:textId="18F30F5A" w:rsidR="00161DAC" w:rsidRPr="004E1DBD" w:rsidRDefault="00161DAC" w:rsidP="00465B3C">
            <w:pPr>
              <w:spacing w:before="60" w:after="60"/>
              <w:rPr>
                <w:rFonts w:eastAsia="Times New Roman" w:cs="Arial"/>
                <w:sz w:val="20"/>
                <w:szCs w:val="20"/>
                <w:lang w:eastAsia="en-GB"/>
              </w:rPr>
            </w:pPr>
            <w:r w:rsidRPr="004E1DBD">
              <w:rPr>
                <w:rFonts w:cs="Arial"/>
                <w:sz w:val="20"/>
                <w:szCs w:val="20"/>
              </w:rPr>
              <w:t>Fruit Drink</w:t>
            </w:r>
          </w:p>
        </w:tc>
        <w:tc>
          <w:tcPr>
            <w:tcW w:w="1560" w:type="dxa"/>
            <w:noWrap/>
            <w:vAlign w:val="bottom"/>
            <w:hideMark/>
          </w:tcPr>
          <w:p w14:paraId="5D80D1B2" w14:textId="116137FF"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31F98497" w14:textId="6C512AE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200</w:t>
            </w:r>
            <w:r w:rsidR="006C59BE" w:rsidRPr="006C59BE">
              <w:rPr>
                <w:rFonts w:cs="Arial"/>
                <w:sz w:val="20"/>
                <w:szCs w:val="20"/>
                <w:vertAlign w:val="superscript"/>
                <w:lang w:eastAsia="en-GB"/>
              </w:rPr>
              <w:t>∞</w:t>
            </w:r>
          </w:p>
        </w:tc>
        <w:tc>
          <w:tcPr>
            <w:tcW w:w="1931" w:type="dxa"/>
            <w:noWrap/>
            <w:vAlign w:val="bottom"/>
            <w:hideMark/>
          </w:tcPr>
          <w:p w14:paraId="4C60500C" w14:textId="0BB89759"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672C11E2"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6193B359" w14:textId="7366C1A1"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14.1.2.2.2</w:t>
            </w:r>
          </w:p>
        </w:tc>
        <w:tc>
          <w:tcPr>
            <w:tcW w:w="3739" w:type="dxa"/>
            <w:noWrap/>
            <w:vAlign w:val="bottom"/>
            <w:hideMark/>
          </w:tcPr>
          <w:p w14:paraId="7A545224" w14:textId="70F34807" w:rsidR="00161DAC" w:rsidRPr="004E1DBD" w:rsidRDefault="00161DAC" w:rsidP="00465B3C">
            <w:pPr>
              <w:spacing w:before="60" w:after="60"/>
              <w:rPr>
                <w:rFonts w:eastAsia="Times New Roman" w:cs="Arial"/>
                <w:sz w:val="20"/>
                <w:szCs w:val="20"/>
                <w:lang w:eastAsia="en-GB"/>
              </w:rPr>
            </w:pPr>
            <w:r w:rsidRPr="004E1DBD">
              <w:rPr>
                <w:rFonts w:cs="Arial"/>
                <w:sz w:val="20"/>
                <w:szCs w:val="20"/>
              </w:rPr>
              <w:t>Low joule fruit and vegetable juice products</w:t>
            </w:r>
          </w:p>
        </w:tc>
        <w:tc>
          <w:tcPr>
            <w:tcW w:w="1931" w:type="dxa"/>
            <w:noWrap/>
            <w:vAlign w:val="bottom"/>
            <w:hideMark/>
          </w:tcPr>
          <w:p w14:paraId="0FE0361A" w14:textId="080C3701"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14.1.2.2.2</w:t>
            </w:r>
          </w:p>
        </w:tc>
        <w:tc>
          <w:tcPr>
            <w:tcW w:w="2976" w:type="dxa"/>
            <w:noWrap/>
            <w:vAlign w:val="bottom"/>
            <w:hideMark/>
          </w:tcPr>
          <w:p w14:paraId="27884336" w14:textId="33F2C84A" w:rsidR="00161DAC" w:rsidRPr="004E1DBD" w:rsidRDefault="00161DAC" w:rsidP="00465B3C">
            <w:pPr>
              <w:spacing w:before="60" w:after="60"/>
              <w:rPr>
                <w:rFonts w:eastAsia="Times New Roman" w:cs="Arial"/>
                <w:sz w:val="20"/>
                <w:szCs w:val="20"/>
                <w:lang w:eastAsia="en-GB"/>
              </w:rPr>
            </w:pPr>
            <w:r w:rsidRPr="004E1DBD">
              <w:rPr>
                <w:rFonts w:cs="Arial"/>
                <w:sz w:val="20"/>
                <w:szCs w:val="20"/>
              </w:rPr>
              <w:t>Low joule fruit &amp; vegetable juice products</w:t>
            </w:r>
          </w:p>
        </w:tc>
        <w:tc>
          <w:tcPr>
            <w:tcW w:w="1560" w:type="dxa"/>
            <w:noWrap/>
            <w:vAlign w:val="bottom"/>
            <w:hideMark/>
          </w:tcPr>
          <w:p w14:paraId="31873833" w14:textId="3FD0223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125</w:t>
            </w:r>
          </w:p>
        </w:tc>
        <w:tc>
          <w:tcPr>
            <w:tcW w:w="1701" w:type="dxa"/>
            <w:noWrap/>
            <w:vAlign w:val="bottom"/>
            <w:hideMark/>
          </w:tcPr>
          <w:p w14:paraId="2B83BE3E" w14:textId="4E5B503A"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115.4</w:t>
            </w:r>
          </w:p>
        </w:tc>
        <w:tc>
          <w:tcPr>
            <w:tcW w:w="1931" w:type="dxa"/>
            <w:noWrap/>
            <w:vAlign w:val="bottom"/>
            <w:hideMark/>
          </w:tcPr>
          <w:p w14:paraId="78260F76" w14:textId="2021A19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30</w:t>
            </w:r>
          </w:p>
        </w:tc>
      </w:tr>
      <w:tr w:rsidR="00161DAC" w:rsidRPr="004E1DBD" w14:paraId="5080EA14"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20B6FA39" w14:textId="56E70315"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14.1.2.2.3</w:t>
            </w:r>
          </w:p>
        </w:tc>
        <w:tc>
          <w:tcPr>
            <w:tcW w:w="3739" w:type="dxa"/>
            <w:noWrap/>
            <w:vAlign w:val="bottom"/>
            <w:hideMark/>
          </w:tcPr>
          <w:p w14:paraId="26AA1E7F" w14:textId="58A265C3" w:rsidR="00161DAC" w:rsidRPr="004E1DBD" w:rsidRDefault="00161DAC" w:rsidP="00465B3C">
            <w:pPr>
              <w:spacing w:before="60" w:after="60"/>
              <w:rPr>
                <w:rFonts w:eastAsia="Times New Roman" w:cs="Arial"/>
                <w:sz w:val="20"/>
                <w:szCs w:val="20"/>
                <w:lang w:eastAsia="en-GB"/>
              </w:rPr>
            </w:pPr>
            <w:r w:rsidRPr="004E1DBD">
              <w:rPr>
                <w:rFonts w:cs="Arial"/>
                <w:sz w:val="20"/>
                <w:szCs w:val="20"/>
              </w:rPr>
              <w:t>Soy bean beverage (plain or flavoured)</w:t>
            </w:r>
          </w:p>
        </w:tc>
        <w:tc>
          <w:tcPr>
            <w:tcW w:w="1931" w:type="dxa"/>
            <w:noWrap/>
            <w:vAlign w:val="bottom"/>
            <w:hideMark/>
          </w:tcPr>
          <w:p w14:paraId="6760B40B" w14:textId="0E3C46C0"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14.1.7.2</w:t>
            </w:r>
          </w:p>
        </w:tc>
        <w:tc>
          <w:tcPr>
            <w:tcW w:w="2976" w:type="dxa"/>
            <w:noWrap/>
            <w:vAlign w:val="bottom"/>
            <w:hideMark/>
          </w:tcPr>
          <w:p w14:paraId="03E7F5E6" w14:textId="082EACF8" w:rsidR="00161DAC" w:rsidRPr="004E1DBD" w:rsidRDefault="00161DAC" w:rsidP="00465B3C">
            <w:pPr>
              <w:spacing w:before="60" w:after="60"/>
              <w:rPr>
                <w:rFonts w:eastAsia="Times New Roman" w:cs="Arial"/>
                <w:sz w:val="20"/>
                <w:szCs w:val="20"/>
                <w:lang w:eastAsia="en-GB"/>
              </w:rPr>
            </w:pPr>
            <w:r w:rsidRPr="004E1DBD">
              <w:rPr>
                <w:rFonts w:cs="Arial"/>
                <w:sz w:val="20"/>
                <w:szCs w:val="20"/>
              </w:rPr>
              <w:t>Soy beverage, flavoured</w:t>
            </w:r>
          </w:p>
        </w:tc>
        <w:tc>
          <w:tcPr>
            <w:tcW w:w="1560" w:type="dxa"/>
            <w:noWrap/>
            <w:vAlign w:val="bottom"/>
            <w:hideMark/>
          </w:tcPr>
          <w:p w14:paraId="74D11B3E" w14:textId="1AA8F0F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200</w:t>
            </w:r>
          </w:p>
        </w:tc>
        <w:tc>
          <w:tcPr>
            <w:tcW w:w="1701" w:type="dxa"/>
            <w:noWrap/>
            <w:vAlign w:val="bottom"/>
            <w:hideMark/>
          </w:tcPr>
          <w:p w14:paraId="150F1D8D" w14:textId="045C462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126.4</w:t>
            </w:r>
          </w:p>
        </w:tc>
        <w:tc>
          <w:tcPr>
            <w:tcW w:w="1931" w:type="dxa"/>
            <w:noWrap/>
            <w:vAlign w:val="bottom"/>
            <w:hideMark/>
          </w:tcPr>
          <w:p w14:paraId="7FED5FCB" w14:textId="62FBB622"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36.8</w:t>
            </w:r>
          </w:p>
        </w:tc>
      </w:tr>
      <w:tr w:rsidR="00161DAC" w:rsidRPr="004E1DBD" w14:paraId="56273A74"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7CA0DA80"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noWrap/>
            <w:vAlign w:val="bottom"/>
            <w:hideMark/>
          </w:tcPr>
          <w:p w14:paraId="41EB6D84"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7FD53518" w14:textId="7E3B983B"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14.1.7.1</w:t>
            </w:r>
          </w:p>
        </w:tc>
        <w:tc>
          <w:tcPr>
            <w:tcW w:w="2976" w:type="dxa"/>
            <w:noWrap/>
            <w:vAlign w:val="bottom"/>
            <w:hideMark/>
          </w:tcPr>
          <w:p w14:paraId="3162D93F" w14:textId="32BBE0A7" w:rsidR="00161DAC" w:rsidRPr="004E1DBD" w:rsidRDefault="00161DAC" w:rsidP="00465B3C">
            <w:pPr>
              <w:spacing w:before="60" w:after="60"/>
              <w:rPr>
                <w:rFonts w:eastAsia="Times New Roman" w:cs="Arial"/>
                <w:sz w:val="20"/>
                <w:szCs w:val="20"/>
                <w:lang w:eastAsia="en-GB"/>
              </w:rPr>
            </w:pPr>
            <w:r w:rsidRPr="004E1DBD">
              <w:rPr>
                <w:rFonts w:cs="Arial"/>
                <w:sz w:val="20"/>
                <w:szCs w:val="20"/>
              </w:rPr>
              <w:t>Soy beverage, unflavoured</w:t>
            </w:r>
          </w:p>
        </w:tc>
        <w:tc>
          <w:tcPr>
            <w:tcW w:w="1560" w:type="dxa"/>
            <w:noWrap/>
            <w:vAlign w:val="bottom"/>
            <w:hideMark/>
          </w:tcPr>
          <w:p w14:paraId="383525B9" w14:textId="3E174EA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69F4E9E5" w14:textId="3E2D291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126.4</w:t>
            </w:r>
          </w:p>
        </w:tc>
        <w:tc>
          <w:tcPr>
            <w:tcW w:w="1931" w:type="dxa"/>
            <w:noWrap/>
            <w:vAlign w:val="bottom"/>
            <w:hideMark/>
          </w:tcPr>
          <w:p w14:paraId="73BDDF2A" w14:textId="658E1D69"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5D5F6AA7"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39FA5912" w14:textId="027BE400"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14.1.3</w:t>
            </w:r>
          </w:p>
        </w:tc>
        <w:tc>
          <w:tcPr>
            <w:tcW w:w="3739" w:type="dxa"/>
            <w:noWrap/>
            <w:vAlign w:val="bottom"/>
            <w:hideMark/>
          </w:tcPr>
          <w:p w14:paraId="5437D4B7" w14:textId="58977D1B" w:rsidR="00161DAC" w:rsidRPr="004E1DBD" w:rsidRDefault="00161DAC" w:rsidP="00465B3C">
            <w:pPr>
              <w:spacing w:before="60" w:after="60"/>
              <w:rPr>
                <w:rFonts w:eastAsia="Times New Roman" w:cs="Arial"/>
                <w:sz w:val="20"/>
                <w:szCs w:val="20"/>
                <w:lang w:eastAsia="en-GB"/>
              </w:rPr>
            </w:pPr>
            <w:r w:rsidRPr="004E1DBD">
              <w:rPr>
                <w:rFonts w:cs="Arial"/>
                <w:sz w:val="20"/>
                <w:szCs w:val="20"/>
              </w:rPr>
              <w:t>Water based flavoured drinks (Australia)</w:t>
            </w:r>
          </w:p>
        </w:tc>
        <w:tc>
          <w:tcPr>
            <w:tcW w:w="1931" w:type="dxa"/>
            <w:noWrap/>
            <w:vAlign w:val="bottom"/>
            <w:hideMark/>
          </w:tcPr>
          <w:p w14:paraId="7CE84DC3" w14:textId="1BB4C5A7"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14.1.3</w:t>
            </w:r>
          </w:p>
        </w:tc>
        <w:tc>
          <w:tcPr>
            <w:tcW w:w="2976" w:type="dxa"/>
            <w:noWrap/>
            <w:vAlign w:val="bottom"/>
            <w:hideMark/>
          </w:tcPr>
          <w:p w14:paraId="76FC3782" w14:textId="4313187E" w:rsidR="00161DAC" w:rsidRPr="004E1DBD" w:rsidRDefault="00161DAC" w:rsidP="00465B3C">
            <w:pPr>
              <w:spacing w:before="60" w:after="60"/>
              <w:rPr>
                <w:rFonts w:eastAsia="Times New Roman" w:cs="Arial"/>
                <w:sz w:val="20"/>
                <w:szCs w:val="20"/>
                <w:lang w:eastAsia="en-GB"/>
              </w:rPr>
            </w:pPr>
            <w:r w:rsidRPr="004E1DBD">
              <w:rPr>
                <w:rFonts w:cs="Arial"/>
                <w:sz w:val="20"/>
                <w:szCs w:val="20"/>
              </w:rPr>
              <w:t>Water based flavoured drinks</w:t>
            </w:r>
          </w:p>
        </w:tc>
        <w:tc>
          <w:tcPr>
            <w:tcW w:w="1560" w:type="dxa"/>
            <w:noWrap/>
            <w:vAlign w:val="bottom"/>
            <w:hideMark/>
          </w:tcPr>
          <w:p w14:paraId="44EA783A" w14:textId="56066C7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200</w:t>
            </w:r>
          </w:p>
        </w:tc>
        <w:tc>
          <w:tcPr>
            <w:tcW w:w="1701" w:type="dxa"/>
            <w:noWrap/>
            <w:vAlign w:val="bottom"/>
            <w:hideMark/>
          </w:tcPr>
          <w:p w14:paraId="7213289A" w14:textId="5F1E4CE9"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52.9</w:t>
            </w:r>
          </w:p>
        </w:tc>
        <w:tc>
          <w:tcPr>
            <w:tcW w:w="1931" w:type="dxa"/>
            <w:noWrap/>
            <w:vAlign w:val="bottom"/>
            <w:hideMark/>
          </w:tcPr>
          <w:p w14:paraId="64098C7C" w14:textId="2879623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91</w:t>
            </w:r>
          </w:p>
        </w:tc>
      </w:tr>
      <w:tr w:rsidR="00161DAC" w:rsidRPr="004E1DBD" w14:paraId="713C4FAA"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308B814E" w14:textId="0A345DB9"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14.1.4</w:t>
            </w:r>
          </w:p>
        </w:tc>
        <w:tc>
          <w:tcPr>
            <w:tcW w:w="3739" w:type="dxa"/>
            <w:noWrap/>
            <w:vAlign w:val="bottom"/>
            <w:hideMark/>
          </w:tcPr>
          <w:p w14:paraId="72EC51BE" w14:textId="0731516C" w:rsidR="00161DAC" w:rsidRPr="004E1DBD" w:rsidRDefault="00161DAC" w:rsidP="00465B3C">
            <w:pPr>
              <w:spacing w:before="60" w:after="60"/>
              <w:rPr>
                <w:rFonts w:eastAsia="Times New Roman" w:cs="Arial"/>
                <w:sz w:val="20"/>
                <w:szCs w:val="20"/>
                <w:lang w:eastAsia="en-GB"/>
              </w:rPr>
            </w:pPr>
            <w:r w:rsidRPr="004E1DBD">
              <w:rPr>
                <w:rFonts w:cs="Arial"/>
                <w:sz w:val="20"/>
                <w:szCs w:val="20"/>
              </w:rPr>
              <w:t>Formulated Beverages</w:t>
            </w:r>
          </w:p>
        </w:tc>
        <w:tc>
          <w:tcPr>
            <w:tcW w:w="1931" w:type="dxa"/>
            <w:noWrap/>
            <w:vAlign w:val="bottom"/>
            <w:hideMark/>
          </w:tcPr>
          <w:p w14:paraId="6F08E001" w14:textId="3D5B77E8"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14.1.4</w:t>
            </w:r>
          </w:p>
        </w:tc>
        <w:tc>
          <w:tcPr>
            <w:tcW w:w="2976" w:type="dxa"/>
            <w:noWrap/>
            <w:vAlign w:val="bottom"/>
            <w:hideMark/>
          </w:tcPr>
          <w:p w14:paraId="42867B7A" w14:textId="0B3DB7C3" w:rsidR="00161DAC" w:rsidRPr="004E1DBD" w:rsidRDefault="00161DAC" w:rsidP="00465B3C">
            <w:pPr>
              <w:spacing w:before="60" w:after="60"/>
              <w:rPr>
                <w:rFonts w:eastAsia="Times New Roman" w:cs="Arial"/>
                <w:sz w:val="20"/>
                <w:szCs w:val="20"/>
                <w:lang w:eastAsia="en-GB"/>
              </w:rPr>
            </w:pPr>
            <w:r w:rsidRPr="004E1DBD">
              <w:rPr>
                <w:rFonts w:cs="Arial"/>
                <w:sz w:val="20"/>
                <w:szCs w:val="20"/>
              </w:rPr>
              <w:t>Formulated beverages</w:t>
            </w:r>
          </w:p>
        </w:tc>
        <w:tc>
          <w:tcPr>
            <w:tcW w:w="1560" w:type="dxa"/>
            <w:noWrap/>
            <w:vAlign w:val="bottom"/>
            <w:hideMark/>
          </w:tcPr>
          <w:p w14:paraId="3C3BCD90" w14:textId="2044509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200</w:t>
            </w:r>
          </w:p>
        </w:tc>
        <w:tc>
          <w:tcPr>
            <w:tcW w:w="1701" w:type="dxa"/>
            <w:noWrap/>
            <w:vAlign w:val="bottom"/>
            <w:hideMark/>
          </w:tcPr>
          <w:p w14:paraId="5D49E9C6" w14:textId="1F2A208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186</w:t>
            </w:r>
          </w:p>
        </w:tc>
        <w:tc>
          <w:tcPr>
            <w:tcW w:w="1931" w:type="dxa"/>
            <w:noWrap/>
            <w:vAlign w:val="bottom"/>
            <w:hideMark/>
          </w:tcPr>
          <w:p w14:paraId="779A304F" w14:textId="3D6B73C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7</w:t>
            </w:r>
          </w:p>
        </w:tc>
      </w:tr>
      <w:tr w:rsidR="00161DAC" w:rsidRPr="004E1DBD" w14:paraId="3D9F0A34"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31C92E76" w14:textId="185EB4D3"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14.1.5</w:t>
            </w:r>
          </w:p>
        </w:tc>
        <w:tc>
          <w:tcPr>
            <w:tcW w:w="3739" w:type="dxa"/>
            <w:noWrap/>
            <w:vAlign w:val="bottom"/>
            <w:hideMark/>
          </w:tcPr>
          <w:p w14:paraId="0E082888" w14:textId="6B2EB846" w:rsidR="00161DAC" w:rsidRPr="004E1DBD" w:rsidRDefault="00161DAC" w:rsidP="00465B3C">
            <w:pPr>
              <w:spacing w:before="60" w:after="60"/>
              <w:rPr>
                <w:rFonts w:eastAsia="Times New Roman" w:cs="Arial"/>
                <w:sz w:val="20"/>
                <w:szCs w:val="20"/>
                <w:lang w:eastAsia="en-GB"/>
              </w:rPr>
            </w:pPr>
            <w:r w:rsidRPr="004E1DBD">
              <w:rPr>
                <w:rFonts w:cs="Arial"/>
                <w:sz w:val="20"/>
                <w:szCs w:val="20"/>
              </w:rPr>
              <w:t>Coffee, coffee substitutes, tea, herbal infusions and similar products</w:t>
            </w:r>
          </w:p>
        </w:tc>
        <w:tc>
          <w:tcPr>
            <w:tcW w:w="1931" w:type="dxa"/>
            <w:noWrap/>
            <w:vAlign w:val="bottom"/>
            <w:hideMark/>
          </w:tcPr>
          <w:p w14:paraId="6A079DB4" w14:textId="5A88D334" w:rsidR="00161DAC" w:rsidRPr="004E1DBD" w:rsidRDefault="00161DAC" w:rsidP="00465B3C">
            <w:pPr>
              <w:spacing w:before="60" w:after="60"/>
              <w:rPr>
                <w:rFonts w:eastAsia="Times New Roman" w:cs="Arial"/>
                <w:sz w:val="20"/>
                <w:szCs w:val="20"/>
                <w:lang w:eastAsia="en-GB"/>
              </w:rPr>
            </w:pPr>
            <w:r w:rsidRPr="004E1DBD">
              <w:rPr>
                <w:rFonts w:cs="Arial"/>
                <w:sz w:val="20"/>
                <w:szCs w:val="20"/>
              </w:rPr>
              <w:t>14.1.5</w:t>
            </w:r>
          </w:p>
        </w:tc>
        <w:tc>
          <w:tcPr>
            <w:tcW w:w="2976" w:type="dxa"/>
            <w:noWrap/>
            <w:vAlign w:val="bottom"/>
            <w:hideMark/>
          </w:tcPr>
          <w:p w14:paraId="4139FA5A" w14:textId="0ABEB962" w:rsidR="00161DAC" w:rsidRPr="004E1DBD" w:rsidRDefault="00161DAC" w:rsidP="00465B3C">
            <w:pPr>
              <w:spacing w:before="60" w:after="60"/>
              <w:rPr>
                <w:rFonts w:eastAsia="Times New Roman" w:cs="Arial"/>
                <w:sz w:val="20"/>
                <w:szCs w:val="20"/>
                <w:lang w:eastAsia="en-GB"/>
              </w:rPr>
            </w:pPr>
            <w:r w:rsidRPr="004E1DBD">
              <w:rPr>
                <w:rFonts w:cs="Arial"/>
                <w:sz w:val="20"/>
                <w:szCs w:val="20"/>
              </w:rPr>
              <w:t>Coffee (or substitute), tea, herbal infusion &amp; similar</w:t>
            </w:r>
          </w:p>
        </w:tc>
        <w:tc>
          <w:tcPr>
            <w:tcW w:w="1560" w:type="dxa"/>
            <w:noWrap/>
            <w:vAlign w:val="bottom"/>
            <w:hideMark/>
          </w:tcPr>
          <w:p w14:paraId="6846211D" w14:textId="485F9C1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100</w:t>
            </w:r>
          </w:p>
        </w:tc>
        <w:tc>
          <w:tcPr>
            <w:tcW w:w="1701" w:type="dxa"/>
            <w:noWrap/>
            <w:vAlign w:val="bottom"/>
            <w:hideMark/>
          </w:tcPr>
          <w:p w14:paraId="65714E3E" w14:textId="169F75F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55.1</w:t>
            </w:r>
          </w:p>
        </w:tc>
        <w:tc>
          <w:tcPr>
            <w:tcW w:w="1931" w:type="dxa"/>
            <w:noWrap/>
            <w:vAlign w:val="bottom"/>
            <w:hideMark/>
          </w:tcPr>
          <w:p w14:paraId="46D39244" w14:textId="7E7E0069"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44.9</w:t>
            </w:r>
          </w:p>
        </w:tc>
      </w:tr>
      <w:tr w:rsidR="00161DAC" w:rsidRPr="004E1DBD" w14:paraId="42F767F2"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19573C05" w14:textId="10210B7E"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20.2.0.1</w:t>
            </w:r>
          </w:p>
        </w:tc>
        <w:tc>
          <w:tcPr>
            <w:tcW w:w="3739" w:type="dxa"/>
            <w:noWrap/>
            <w:vAlign w:val="bottom"/>
            <w:hideMark/>
          </w:tcPr>
          <w:p w14:paraId="42A63819" w14:textId="6AA142B4" w:rsidR="00161DAC" w:rsidRPr="004E1DBD" w:rsidRDefault="00161DAC" w:rsidP="00465B3C">
            <w:pPr>
              <w:spacing w:before="60" w:after="60"/>
              <w:rPr>
                <w:rFonts w:eastAsia="Times New Roman" w:cs="Arial"/>
                <w:sz w:val="20"/>
                <w:szCs w:val="20"/>
                <w:lang w:eastAsia="en-GB"/>
              </w:rPr>
            </w:pPr>
            <w:r w:rsidRPr="004E1DBD">
              <w:rPr>
                <w:rFonts w:cs="Arial"/>
                <w:sz w:val="20"/>
                <w:szCs w:val="20"/>
              </w:rPr>
              <w:t>Custard mix, custard powder and blancmange powder</w:t>
            </w:r>
          </w:p>
        </w:tc>
        <w:tc>
          <w:tcPr>
            <w:tcW w:w="1931" w:type="dxa"/>
            <w:noWrap/>
            <w:vAlign w:val="bottom"/>
            <w:hideMark/>
          </w:tcPr>
          <w:p w14:paraId="7DC2FE54" w14:textId="6918E0DE"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20.2.1.1.3.2</w:t>
            </w:r>
          </w:p>
        </w:tc>
        <w:tc>
          <w:tcPr>
            <w:tcW w:w="2976" w:type="dxa"/>
            <w:noWrap/>
            <w:vAlign w:val="bottom"/>
            <w:hideMark/>
          </w:tcPr>
          <w:p w14:paraId="3CA3E842" w14:textId="576CD9DD" w:rsidR="00161DAC" w:rsidRPr="004E1DBD" w:rsidRDefault="00161DAC" w:rsidP="00465B3C">
            <w:pPr>
              <w:spacing w:before="60" w:after="60"/>
              <w:rPr>
                <w:rFonts w:eastAsia="Times New Roman" w:cs="Arial"/>
                <w:sz w:val="20"/>
                <w:szCs w:val="20"/>
                <w:lang w:eastAsia="en-GB"/>
              </w:rPr>
            </w:pPr>
            <w:r w:rsidRPr="004E1DBD">
              <w:rPr>
                <w:rFonts w:cs="Arial"/>
                <w:sz w:val="20"/>
                <w:szCs w:val="20"/>
              </w:rPr>
              <w:t>Desserts, dairy, no choc/coffee; custard &amp; blanc mange mix/powd</w:t>
            </w:r>
          </w:p>
        </w:tc>
        <w:tc>
          <w:tcPr>
            <w:tcW w:w="1560" w:type="dxa"/>
            <w:noWrap/>
            <w:vAlign w:val="bottom"/>
            <w:hideMark/>
          </w:tcPr>
          <w:p w14:paraId="7711FCAC" w14:textId="357F537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80</w:t>
            </w:r>
          </w:p>
        </w:tc>
        <w:tc>
          <w:tcPr>
            <w:tcW w:w="1701" w:type="dxa"/>
            <w:noWrap/>
            <w:vAlign w:val="bottom"/>
            <w:hideMark/>
          </w:tcPr>
          <w:p w14:paraId="08174461" w14:textId="5E0721AF"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80</w:t>
            </w:r>
          </w:p>
        </w:tc>
        <w:tc>
          <w:tcPr>
            <w:tcW w:w="1931" w:type="dxa"/>
            <w:noWrap/>
            <w:vAlign w:val="bottom"/>
            <w:hideMark/>
          </w:tcPr>
          <w:p w14:paraId="7FA6F44F" w14:textId="52A4281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0</w:t>
            </w:r>
          </w:p>
        </w:tc>
      </w:tr>
      <w:tr w:rsidR="00161DAC" w:rsidRPr="004E1DBD" w14:paraId="110136B3"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285B8276" w14:textId="48C4678D"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noWrap/>
            <w:vAlign w:val="bottom"/>
            <w:hideMark/>
          </w:tcPr>
          <w:p w14:paraId="59A8B0A6" w14:textId="7BAD13B5"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378DAA98" w14:textId="7B2A43AE"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20.2.1.1.1.2</w:t>
            </w:r>
          </w:p>
        </w:tc>
        <w:tc>
          <w:tcPr>
            <w:tcW w:w="2976" w:type="dxa"/>
            <w:noWrap/>
            <w:vAlign w:val="bottom"/>
            <w:hideMark/>
          </w:tcPr>
          <w:p w14:paraId="50D65E56" w14:textId="2944DC27" w:rsidR="00161DAC" w:rsidRPr="004E1DBD" w:rsidRDefault="00161DAC" w:rsidP="00465B3C">
            <w:pPr>
              <w:spacing w:before="60" w:after="60"/>
              <w:rPr>
                <w:rFonts w:eastAsia="Times New Roman" w:cs="Arial"/>
                <w:sz w:val="20"/>
                <w:szCs w:val="20"/>
                <w:lang w:eastAsia="en-GB"/>
              </w:rPr>
            </w:pPr>
            <w:r w:rsidRPr="004E1DBD">
              <w:rPr>
                <w:rFonts w:cs="Arial"/>
                <w:sz w:val="20"/>
                <w:szCs w:val="20"/>
              </w:rPr>
              <w:t>Desserts, dairy, choc; custard &amp; blanc mange mix/powd</w:t>
            </w:r>
          </w:p>
        </w:tc>
        <w:tc>
          <w:tcPr>
            <w:tcW w:w="1560" w:type="dxa"/>
            <w:noWrap/>
            <w:vAlign w:val="bottom"/>
            <w:hideMark/>
          </w:tcPr>
          <w:p w14:paraId="4AEDF045" w14:textId="1411DA5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80</w:t>
            </w:r>
          </w:p>
        </w:tc>
        <w:tc>
          <w:tcPr>
            <w:tcW w:w="1701" w:type="dxa"/>
            <w:noWrap/>
            <w:vAlign w:val="bottom"/>
            <w:hideMark/>
          </w:tcPr>
          <w:p w14:paraId="2527578B" w14:textId="4EAF3D16"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80</w:t>
            </w:r>
          </w:p>
        </w:tc>
        <w:tc>
          <w:tcPr>
            <w:tcW w:w="1931" w:type="dxa"/>
            <w:noWrap/>
            <w:vAlign w:val="bottom"/>
            <w:hideMark/>
          </w:tcPr>
          <w:p w14:paraId="7156261E" w14:textId="7FA6B8DE"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0</w:t>
            </w:r>
          </w:p>
        </w:tc>
      </w:tr>
      <w:tr w:rsidR="00161DAC" w:rsidRPr="004E1DBD" w14:paraId="3786BBEE"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769C36C8" w14:textId="6FCD14A2"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20.2.0.2</w:t>
            </w:r>
          </w:p>
        </w:tc>
        <w:tc>
          <w:tcPr>
            <w:tcW w:w="3739" w:type="dxa"/>
            <w:noWrap/>
            <w:vAlign w:val="bottom"/>
            <w:hideMark/>
          </w:tcPr>
          <w:p w14:paraId="61EE9AFA" w14:textId="1A90998F" w:rsidR="00161DAC" w:rsidRPr="004E1DBD" w:rsidRDefault="00161DAC" w:rsidP="00465B3C">
            <w:pPr>
              <w:spacing w:before="60" w:after="60"/>
              <w:rPr>
                <w:rFonts w:eastAsia="Times New Roman" w:cs="Arial"/>
                <w:sz w:val="20"/>
                <w:szCs w:val="20"/>
                <w:lang w:eastAsia="en-GB"/>
              </w:rPr>
            </w:pPr>
            <w:r w:rsidRPr="004E1DBD">
              <w:rPr>
                <w:rFonts w:cs="Arial"/>
                <w:sz w:val="20"/>
                <w:szCs w:val="20"/>
              </w:rPr>
              <w:t>Jelly</w:t>
            </w:r>
          </w:p>
        </w:tc>
        <w:tc>
          <w:tcPr>
            <w:tcW w:w="1931" w:type="dxa"/>
            <w:noWrap/>
            <w:vAlign w:val="bottom"/>
            <w:hideMark/>
          </w:tcPr>
          <w:p w14:paraId="19BC60A2" w14:textId="4CE8CE1F"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20.2.1.2.3.1</w:t>
            </w:r>
          </w:p>
        </w:tc>
        <w:tc>
          <w:tcPr>
            <w:tcW w:w="2976" w:type="dxa"/>
            <w:noWrap/>
            <w:vAlign w:val="bottom"/>
            <w:hideMark/>
          </w:tcPr>
          <w:p w14:paraId="6AD3EB55" w14:textId="7CC40805" w:rsidR="00161DAC" w:rsidRPr="004E1DBD" w:rsidRDefault="00161DAC" w:rsidP="00465B3C">
            <w:pPr>
              <w:spacing w:before="60" w:after="60"/>
              <w:rPr>
                <w:rFonts w:eastAsia="Times New Roman" w:cs="Arial"/>
                <w:sz w:val="20"/>
                <w:szCs w:val="20"/>
                <w:lang w:eastAsia="en-GB"/>
              </w:rPr>
            </w:pPr>
            <w:r w:rsidRPr="004E1DBD">
              <w:rPr>
                <w:rFonts w:cs="Arial"/>
                <w:sz w:val="20"/>
                <w:szCs w:val="20"/>
              </w:rPr>
              <w:t>Desserts, no-dairy, no choc/coffee; jelly</w:t>
            </w:r>
          </w:p>
        </w:tc>
        <w:tc>
          <w:tcPr>
            <w:tcW w:w="1560" w:type="dxa"/>
            <w:noWrap/>
            <w:vAlign w:val="bottom"/>
            <w:hideMark/>
          </w:tcPr>
          <w:p w14:paraId="5EF81CD4" w14:textId="2286AC52"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260</w:t>
            </w:r>
          </w:p>
        </w:tc>
        <w:tc>
          <w:tcPr>
            <w:tcW w:w="1701" w:type="dxa"/>
            <w:noWrap/>
            <w:vAlign w:val="bottom"/>
            <w:hideMark/>
          </w:tcPr>
          <w:p w14:paraId="6F76E214" w14:textId="0718845E"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30.9</w:t>
            </w:r>
          </w:p>
        </w:tc>
        <w:tc>
          <w:tcPr>
            <w:tcW w:w="1931" w:type="dxa"/>
            <w:noWrap/>
            <w:vAlign w:val="bottom"/>
            <w:hideMark/>
          </w:tcPr>
          <w:p w14:paraId="3ECC1D24" w14:textId="168BC7BD"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91.3</w:t>
            </w:r>
          </w:p>
        </w:tc>
      </w:tr>
      <w:tr w:rsidR="00161DAC" w:rsidRPr="004E1DBD" w14:paraId="516C77C4"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46E468BC" w14:textId="6F539434"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20.2.0.3</w:t>
            </w:r>
          </w:p>
        </w:tc>
        <w:tc>
          <w:tcPr>
            <w:tcW w:w="3739" w:type="dxa"/>
            <w:noWrap/>
            <w:vAlign w:val="bottom"/>
            <w:hideMark/>
          </w:tcPr>
          <w:p w14:paraId="4392D4E1" w14:textId="0CF767AF" w:rsidR="00161DAC" w:rsidRPr="004E1DBD" w:rsidRDefault="00161DAC" w:rsidP="00465B3C">
            <w:pPr>
              <w:spacing w:before="60" w:after="60"/>
              <w:rPr>
                <w:rFonts w:eastAsia="Times New Roman" w:cs="Arial"/>
                <w:sz w:val="20"/>
                <w:szCs w:val="20"/>
                <w:lang w:eastAsia="en-GB"/>
              </w:rPr>
            </w:pPr>
            <w:r w:rsidRPr="004E1DBD">
              <w:rPr>
                <w:rFonts w:cs="Arial"/>
                <w:sz w:val="20"/>
                <w:szCs w:val="20"/>
              </w:rPr>
              <w:t>Dairy and fat based desserts, dips and snacks</w:t>
            </w:r>
          </w:p>
        </w:tc>
        <w:tc>
          <w:tcPr>
            <w:tcW w:w="1931" w:type="dxa"/>
            <w:noWrap/>
            <w:vAlign w:val="bottom"/>
            <w:hideMark/>
          </w:tcPr>
          <w:p w14:paraId="72FD9ABF" w14:textId="6E5834A2"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20.2.1.1</w:t>
            </w:r>
          </w:p>
        </w:tc>
        <w:tc>
          <w:tcPr>
            <w:tcW w:w="2976" w:type="dxa"/>
            <w:noWrap/>
            <w:vAlign w:val="bottom"/>
            <w:hideMark/>
          </w:tcPr>
          <w:p w14:paraId="06267785" w14:textId="0B27E819" w:rsidR="00161DAC" w:rsidRPr="004E1DBD" w:rsidRDefault="00161DAC" w:rsidP="00465B3C">
            <w:pPr>
              <w:spacing w:before="60" w:after="60"/>
              <w:rPr>
                <w:rFonts w:eastAsia="Times New Roman" w:cs="Arial"/>
                <w:sz w:val="20"/>
                <w:szCs w:val="20"/>
                <w:lang w:eastAsia="en-GB"/>
              </w:rPr>
            </w:pPr>
            <w:r w:rsidRPr="004E1DBD">
              <w:rPr>
                <w:rFonts w:cs="Arial"/>
                <w:sz w:val="20"/>
                <w:szCs w:val="20"/>
              </w:rPr>
              <w:t>Desserts, dairy</w:t>
            </w:r>
          </w:p>
        </w:tc>
        <w:tc>
          <w:tcPr>
            <w:tcW w:w="1560" w:type="dxa"/>
            <w:noWrap/>
            <w:vAlign w:val="bottom"/>
            <w:hideMark/>
          </w:tcPr>
          <w:p w14:paraId="0CC3CC9C" w14:textId="33681D51"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150</w:t>
            </w:r>
          </w:p>
        </w:tc>
        <w:tc>
          <w:tcPr>
            <w:tcW w:w="1701" w:type="dxa"/>
            <w:noWrap/>
            <w:vAlign w:val="bottom"/>
            <w:hideMark/>
          </w:tcPr>
          <w:p w14:paraId="4E8D455A" w14:textId="0695C83B"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83.1</w:t>
            </w:r>
          </w:p>
        </w:tc>
        <w:tc>
          <w:tcPr>
            <w:tcW w:w="1931" w:type="dxa"/>
            <w:noWrap/>
            <w:vAlign w:val="bottom"/>
            <w:hideMark/>
          </w:tcPr>
          <w:p w14:paraId="1CAA6EE1" w14:textId="1E05B7B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44.6</w:t>
            </w:r>
          </w:p>
        </w:tc>
      </w:tr>
      <w:tr w:rsidR="00161DAC" w:rsidRPr="004E1DBD" w14:paraId="2F938CA0"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493B85BA" w14:textId="3499A911"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noWrap/>
            <w:vAlign w:val="bottom"/>
            <w:hideMark/>
          </w:tcPr>
          <w:p w14:paraId="0B85FD27" w14:textId="09F2BB25"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2E4D66B5" w14:textId="2CF095D5"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20.2.1.2</w:t>
            </w:r>
          </w:p>
        </w:tc>
        <w:tc>
          <w:tcPr>
            <w:tcW w:w="2976" w:type="dxa"/>
            <w:noWrap/>
            <w:vAlign w:val="bottom"/>
            <w:hideMark/>
          </w:tcPr>
          <w:p w14:paraId="6A6A07AA" w14:textId="2E2CCA2B" w:rsidR="00161DAC" w:rsidRPr="004E1DBD" w:rsidRDefault="00161DAC" w:rsidP="00465B3C">
            <w:pPr>
              <w:spacing w:before="60" w:after="60"/>
              <w:rPr>
                <w:rFonts w:eastAsia="Times New Roman" w:cs="Arial"/>
                <w:sz w:val="20"/>
                <w:szCs w:val="20"/>
                <w:lang w:eastAsia="en-GB"/>
              </w:rPr>
            </w:pPr>
            <w:r w:rsidRPr="004E1DBD">
              <w:rPr>
                <w:rFonts w:cs="Arial"/>
                <w:sz w:val="20"/>
                <w:szCs w:val="20"/>
              </w:rPr>
              <w:t>Desserts, no-dairy</w:t>
            </w:r>
          </w:p>
        </w:tc>
        <w:tc>
          <w:tcPr>
            <w:tcW w:w="1560" w:type="dxa"/>
            <w:noWrap/>
            <w:vAlign w:val="bottom"/>
            <w:hideMark/>
          </w:tcPr>
          <w:p w14:paraId="00B503C4" w14:textId="54B50EE0"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3B5E251C" w14:textId="026B1D7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83.1</w:t>
            </w:r>
          </w:p>
        </w:tc>
        <w:tc>
          <w:tcPr>
            <w:tcW w:w="1931" w:type="dxa"/>
            <w:noWrap/>
            <w:vAlign w:val="bottom"/>
            <w:hideMark/>
          </w:tcPr>
          <w:p w14:paraId="25C271C6" w14:textId="086E13B1"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716BAEE5"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4A86ABD8" w14:textId="58C1D612"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noWrap/>
            <w:vAlign w:val="bottom"/>
            <w:hideMark/>
          </w:tcPr>
          <w:p w14:paraId="2B7B4F84" w14:textId="33E0921B"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34A650D2" w14:textId="6310D6C4"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20.2.6.3</w:t>
            </w:r>
          </w:p>
        </w:tc>
        <w:tc>
          <w:tcPr>
            <w:tcW w:w="2976" w:type="dxa"/>
            <w:noWrap/>
            <w:vAlign w:val="bottom"/>
            <w:hideMark/>
          </w:tcPr>
          <w:p w14:paraId="6B776845" w14:textId="200DFBC8" w:rsidR="00161DAC" w:rsidRPr="004E1DBD" w:rsidRDefault="00161DAC" w:rsidP="00465B3C">
            <w:pPr>
              <w:spacing w:before="60" w:after="60"/>
              <w:rPr>
                <w:rFonts w:eastAsia="Times New Roman" w:cs="Arial"/>
                <w:sz w:val="20"/>
                <w:szCs w:val="20"/>
                <w:lang w:eastAsia="en-GB"/>
              </w:rPr>
            </w:pPr>
            <w:r w:rsidRPr="004E1DBD">
              <w:rPr>
                <w:rFonts w:cs="Arial"/>
                <w:sz w:val="20"/>
                <w:szCs w:val="20"/>
              </w:rPr>
              <w:t>Dips &amp; spreads</w:t>
            </w:r>
          </w:p>
        </w:tc>
        <w:tc>
          <w:tcPr>
            <w:tcW w:w="1560" w:type="dxa"/>
            <w:noWrap/>
            <w:vAlign w:val="bottom"/>
            <w:hideMark/>
          </w:tcPr>
          <w:p w14:paraId="5EE8130E" w14:textId="113E1AB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082FE0D2" w14:textId="2D0A00A1"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83.1</w:t>
            </w:r>
          </w:p>
        </w:tc>
        <w:tc>
          <w:tcPr>
            <w:tcW w:w="1931" w:type="dxa"/>
            <w:noWrap/>
            <w:vAlign w:val="bottom"/>
            <w:hideMark/>
          </w:tcPr>
          <w:p w14:paraId="2FD09EDF" w14:textId="327E65B3"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0A4BA09D"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4B2177E2" w14:textId="2A58BD11" w:rsidR="00161DAC" w:rsidRPr="004E1DBD" w:rsidRDefault="00161DAC" w:rsidP="00465B3C">
            <w:pPr>
              <w:spacing w:before="60" w:after="60"/>
              <w:rPr>
                <w:rFonts w:eastAsia="Times New Roman" w:cs="Arial"/>
                <w:sz w:val="20"/>
                <w:szCs w:val="20"/>
                <w:lang w:eastAsia="en-GB"/>
              </w:rPr>
            </w:pPr>
            <w:r w:rsidRPr="004E1DBD">
              <w:rPr>
                <w:rFonts w:cs="Arial"/>
                <w:sz w:val="20"/>
                <w:szCs w:val="20"/>
              </w:rPr>
              <w:lastRenderedPageBreak/>
              <w:t> </w:t>
            </w:r>
          </w:p>
        </w:tc>
        <w:tc>
          <w:tcPr>
            <w:tcW w:w="3739" w:type="dxa"/>
            <w:noWrap/>
            <w:vAlign w:val="bottom"/>
            <w:hideMark/>
          </w:tcPr>
          <w:p w14:paraId="5E00FA22" w14:textId="7D3E724C"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6688CCCE" w14:textId="0E75C720"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20.2.6.3.1</w:t>
            </w:r>
          </w:p>
        </w:tc>
        <w:tc>
          <w:tcPr>
            <w:tcW w:w="2976" w:type="dxa"/>
            <w:noWrap/>
            <w:vAlign w:val="bottom"/>
            <w:hideMark/>
          </w:tcPr>
          <w:p w14:paraId="2925EE9A" w14:textId="51707031" w:rsidR="00161DAC" w:rsidRPr="004E1DBD" w:rsidRDefault="00161DAC" w:rsidP="00465B3C">
            <w:pPr>
              <w:spacing w:before="60" w:after="60"/>
              <w:rPr>
                <w:rFonts w:eastAsia="Times New Roman" w:cs="Arial"/>
                <w:sz w:val="20"/>
                <w:szCs w:val="20"/>
                <w:lang w:eastAsia="en-GB"/>
              </w:rPr>
            </w:pPr>
            <w:r w:rsidRPr="004E1DBD">
              <w:rPr>
                <w:rFonts w:cs="Arial"/>
                <w:sz w:val="20"/>
                <w:szCs w:val="20"/>
              </w:rPr>
              <w:t>Dips, dairy or fat based</w:t>
            </w:r>
          </w:p>
        </w:tc>
        <w:tc>
          <w:tcPr>
            <w:tcW w:w="1560" w:type="dxa"/>
            <w:noWrap/>
            <w:vAlign w:val="bottom"/>
            <w:hideMark/>
          </w:tcPr>
          <w:p w14:paraId="2F3F55C6" w14:textId="78091C19"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2BCA5FE0" w14:textId="45522F9F"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83.1</w:t>
            </w:r>
          </w:p>
        </w:tc>
        <w:tc>
          <w:tcPr>
            <w:tcW w:w="1931" w:type="dxa"/>
            <w:noWrap/>
            <w:vAlign w:val="bottom"/>
            <w:hideMark/>
          </w:tcPr>
          <w:p w14:paraId="0DCCF124" w14:textId="11CC633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33B87413"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125D52CC" w14:textId="6933700B"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noWrap/>
            <w:vAlign w:val="bottom"/>
            <w:hideMark/>
          </w:tcPr>
          <w:p w14:paraId="213E1296" w14:textId="3C82D234"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655BB9FD" w14:textId="4742D34C"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20.2.6.3.2</w:t>
            </w:r>
          </w:p>
        </w:tc>
        <w:tc>
          <w:tcPr>
            <w:tcW w:w="2976" w:type="dxa"/>
            <w:noWrap/>
            <w:vAlign w:val="bottom"/>
            <w:hideMark/>
          </w:tcPr>
          <w:p w14:paraId="0AFB1347" w14:textId="40954B56" w:rsidR="00161DAC" w:rsidRPr="004E1DBD" w:rsidRDefault="00161DAC" w:rsidP="00465B3C">
            <w:pPr>
              <w:spacing w:before="60" w:after="60"/>
              <w:rPr>
                <w:rFonts w:eastAsia="Times New Roman" w:cs="Arial"/>
                <w:sz w:val="20"/>
                <w:szCs w:val="20"/>
                <w:lang w:eastAsia="en-GB"/>
              </w:rPr>
            </w:pPr>
            <w:r w:rsidRPr="004E1DBD">
              <w:rPr>
                <w:rFonts w:cs="Arial"/>
                <w:sz w:val="20"/>
                <w:szCs w:val="20"/>
              </w:rPr>
              <w:t>Dips, not dairy or fat based</w:t>
            </w:r>
          </w:p>
        </w:tc>
        <w:tc>
          <w:tcPr>
            <w:tcW w:w="1560" w:type="dxa"/>
            <w:noWrap/>
            <w:vAlign w:val="bottom"/>
            <w:hideMark/>
          </w:tcPr>
          <w:p w14:paraId="5D1F41A4" w14:textId="24CFC8AE"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132608EC" w14:textId="3F9E0569"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0</w:t>
            </w:r>
          </w:p>
        </w:tc>
        <w:tc>
          <w:tcPr>
            <w:tcW w:w="1931" w:type="dxa"/>
            <w:noWrap/>
            <w:vAlign w:val="bottom"/>
            <w:hideMark/>
          </w:tcPr>
          <w:p w14:paraId="3530FF21" w14:textId="0B64387D"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7318A5E5"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4649C3A2" w14:textId="57601F5A"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noWrap/>
            <w:vAlign w:val="bottom"/>
            <w:hideMark/>
          </w:tcPr>
          <w:p w14:paraId="16E309AD" w14:textId="0EE60D8A"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1EF6F3F0" w14:textId="293F74B2" w:rsidR="00161DAC" w:rsidRPr="004E1DBD" w:rsidRDefault="00161DAC" w:rsidP="00465B3C">
            <w:pPr>
              <w:spacing w:before="60" w:after="60"/>
              <w:rPr>
                <w:rFonts w:eastAsia="Times New Roman" w:cs="Arial"/>
                <w:sz w:val="20"/>
                <w:szCs w:val="20"/>
                <w:lang w:eastAsia="en-GB"/>
              </w:rPr>
            </w:pPr>
            <w:r w:rsidRPr="004E1DBD">
              <w:rPr>
                <w:rFonts w:cs="Arial"/>
                <w:sz w:val="20"/>
                <w:szCs w:val="20"/>
              </w:rPr>
              <w:t>21.2.6.3.1</w:t>
            </w:r>
          </w:p>
        </w:tc>
        <w:tc>
          <w:tcPr>
            <w:tcW w:w="2976" w:type="dxa"/>
            <w:noWrap/>
            <w:vAlign w:val="bottom"/>
            <w:hideMark/>
          </w:tcPr>
          <w:p w14:paraId="02F8F99C" w14:textId="1DC7892F" w:rsidR="00161DAC" w:rsidRPr="004E1DBD" w:rsidRDefault="00161DAC" w:rsidP="00465B3C">
            <w:pPr>
              <w:spacing w:before="60" w:after="60"/>
              <w:rPr>
                <w:rFonts w:eastAsia="Times New Roman" w:cs="Arial"/>
                <w:sz w:val="20"/>
                <w:szCs w:val="20"/>
                <w:lang w:eastAsia="en-GB"/>
              </w:rPr>
            </w:pPr>
            <w:r w:rsidRPr="004E1DBD">
              <w:rPr>
                <w:rFonts w:cs="Arial"/>
                <w:sz w:val="20"/>
                <w:szCs w:val="20"/>
              </w:rPr>
              <w:t>Dips &amp; spreads, homemade, contains dairy</w:t>
            </w:r>
          </w:p>
        </w:tc>
        <w:tc>
          <w:tcPr>
            <w:tcW w:w="1560" w:type="dxa"/>
            <w:noWrap/>
            <w:vAlign w:val="bottom"/>
            <w:hideMark/>
          </w:tcPr>
          <w:p w14:paraId="248C8AB9" w14:textId="4B56DE1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3EB2A5C3" w14:textId="624C3854"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83.1</w:t>
            </w:r>
          </w:p>
        </w:tc>
        <w:tc>
          <w:tcPr>
            <w:tcW w:w="1931" w:type="dxa"/>
            <w:noWrap/>
            <w:vAlign w:val="bottom"/>
            <w:hideMark/>
          </w:tcPr>
          <w:p w14:paraId="668E106A" w14:textId="7A8BDEA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6FBF42E1"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noWrap/>
            <w:vAlign w:val="bottom"/>
            <w:hideMark/>
          </w:tcPr>
          <w:p w14:paraId="13A137E8" w14:textId="364C9EC8"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20.2.0.4</w:t>
            </w:r>
          </w:p>
        </w:tc>
        <w:tc>
          <w:tcPr>
            <w:tcW w:w="3739" w:type="dxa"/>
            <w:noWrap/>
            <w:vAlign w:val="bottom"/>
            <w:hideMark/>
          </w:tcPr>
          <w:p w14:paraId="2AEA808C" w14:textId="683B223B" w:rsidR="00161DAC" w:rsidRPr="004E1DBD" w:rsidRDefault="00161DAC" w:rsidP="00465B3C">
            <w:pPr>
              <w:spacing w:before="60" w:after="60"/>
              <w:rPr>
                <w:rFonts w:eastAsia="Times New Roman" w:cs="Arial"/>
                <w:sz w:val="20"/>
                <w:szCs w:val="20"/>
                <w:lang w:eastAsia="en-GB"/>
              </w:rPr>
            </w:pPr>
            <w:r w:rsidRPr="004E1DBD">
              <w:rPr>
                <w:rFonts w:cs="Arial"/>
                <w:sz w:val="20"/>
                <w:szCs w:val="20"/>
              </w:rPr>
              <w:t>Sauces and toppings (including mayonnaises and salad dressings)</w:t>
            </w:r>
          </w:p>
        </w:tc>
        <w:tc>
          <w:tcPr>
            <w:tcW w:w="1931" w:type="dxa"/>
            <w:noWrap/>
            <w:vAlign w:val="bottom"/>
            <w:hideMark/>
          </w:tcPr>
          <w:p w14:paraId="0152365B" w14:textId="0A66C455"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20.2.6.1</w:t>
            </w:r>
          </w:p>
        </w:tc>
        <w:tc>
          <w:tcPr>
            <w:tcW w:w="2976" w:type="dxa"/>
            <w:noWrap/>
            <w:vAlign w:val="bottom"/>
            <w:hideMark/>
          </w:tcPr>
          <w:p w14:paraId="49FBFD13" w14:textId="01085577" w:rsidR="00161DAC" w:rsidRPr="004E1DBD" w:rsidRDefault="00161DAC" w:rsidP="00465B3C">
            <w:pPr>
              <w:spacing w:before="60" w:after="60"/>
              <w:rPr>
                <w:rFonts w:eastAsia="Times New Roman" w:cs="Arial"/>
                <w:sz w:val="20"/>
                <w:szCs w:val="20"/>
                <w:lang w:eastAsia="en-GB"/>
              </w:rPr>
            </w:pPr>
            <w:r w:rsidRPr="004E1DBD">
              <w:rPr>
                <w:rFonts w:cs="Arial"/>
                <w:sz w:val="20"/>
                <w:szCs w:val="20"/>
              </w:rPr>
              <w:t>Sauces &amp; syrups, sweet</w:t>
            </w:r>
          </w:p>
        </w:tc>
        <w:tc>
          <w:tcPr>
            <w:tcW w:w="1560" w:type="dxa"/>
            <w:noWrap/>
            <w:vAlign w:val="bottom"/>
            <w:hideMark/>
          </w:tcPr>
          <w:p w14:paraId="6328AEB3" w14:textId="5EA1379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320</w:t>
            </w:r>
          </w:p>
        </w:tc>
        <w:tc>
          <w:tcPr>
            <w:tcW w:w="1701" w:type="dxa"/>
            <w:noWrap/>
            <w:vAlign w:val="bottom"/>
            <w:hideMark/>
          </w:tcPr>
          <w:p w14:paraId="2AC2E471" w14:textId="17CBAE87"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251.7</w:t>
            </w:r>
          </w:p>
        </w:tc>
        <w:tc>
          <w:tcPr>
            <w:tcW w:w="1931" w:type="dxa"/>
            <w:noWrap/>
            <w:vAlign w:val="bottom"/>
            <w:hideMark/>
          </w:tcPr>
          <w:p w14:paraId="11C28D9C" w14:textId="39EF5270"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21.9</w:t>
            </w:r>
          </w:p>
        </w:tc>
      </w:tr>
      <w:tr w:rsidR="00161DAC" w:rsidRPr="004E1DBD" w14:paraId="5892F2F4" w14:textId="77777777" w:rsidTr="00465B3C">
        <w:trPr>
          <w:cnfStyle w:val="000000100000" w:firstRow="0" w:lastRow="0" w:firstColumn="0" w:lastColumn="0" w:oddVBand="0" w:evenVBand="0" w:oddHBand="1" w:evenHBand="0" w:firstRowFirstColumn="0" w:firstRowLastColumn="0" w:lastRowFirstColumn="0" w:lastRowLastColumn="0"/>
          <w:cantSplit/>
          <w:trHeight w:val="20"/>
        </w:trPr>
        <w:tc>
          <w:tcPr>
            <w:tcW w:w="1560" w:type="dxa"/>
            <w:noWrap/>
            <w:vAlign w:val="bottom"/>
            <w:hideMark/>
          </w:tcPr>
          <w:p w14:paraId="1775AE32"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noWrap/>
            <w:vAlign w:val="bottom"/>
            <w:hideMark/>
          </w:tcPr>
          <w:p w14:paraId="18A882C4" w14:textId="77777777"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13AD6170" w14:textId="322FD835"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20.2.7</w:t>
            </w:r>
          </w:p>
        </w:tc>
        <w:tc>
          <w:tcPr>
            <w:tcW w:w="2976" w:type="dxa"/>
            <w:noWrap/>
            <w:vAlign w:val="bottom"/>
            <w:hideMark/>
          </w:tcPr>
          <w:p w14:paraId="7D7FBD0E" w14:textId="686A112B" w:rsidR="00161DAC" w:rsidRPr="004E1DBD" w:rsidRDefault="00161DAC" w:rsidP="00465B3C">
            <w:pPr>
              <w:spacing w:before="60" w:after="60"/>
              <w:rPr>
                <w:rFonts w:eastAsia="Times New Roman" w:cs="Arial"/>
                <w:sz w:val="20"/>
                <w:szCs w:val="20"/>
                <w:lang w:eastAsia="en-GB"/>
              </w:rPr>
            </w:pPr>
            <w:r w:rsidRPr="004E1DBD">
              <w:rPr>
                <w:rFonts w:cs="Arial"/>
                <w:sz w:val="20"/>
                <w:szCs w:val="20"/>
              </w:rPr>
              <w:t>Mayo and salad dressing</w:t>
            </w:r>
          </w:p>
        </w:tc>
        <w:tc>
          <w:tcPr>
            <w:tcW w:w="1560" w:type="dxa"/>
            <w:noWrap/>
            <w:vAlign w:val="bottom"/>
            <w:hideMark/>
          </w:tcPr>
          <w:p w14:paraId="2884CB35" w14:textId="47A11255"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09747352" w14:textId="5481CFA3"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251.7</w:t>
            </w:r>
          </w:p>
        </w:tc>
        <w:tc>
          <w:tcPr>
            <w:tcW w:w="1931" w:type="dxa"/>
            <w:noWrap/>
            <w:vAlign w:val="bottom"/>
            <w:hideMark/>
          </w:tcPr>
          <w:p w14:paraId="5378B3B4" w14:textId="222FADC2"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r w:rsidR="00161DAC" w:rsidRPr="004E1DBD" w14:paraId="5F998755" w14:textId="77777777" w:rsidTr="00465B3C">
        <w:trPr>
          <w:cnfStyle w:val="000000010000" w:firstRow="0" w:lastRow="0" w:firstColumn="0" w:lastColumn="0" w:oddVBand="0" w:evenVBand="0" w:oddHBand="0" w:evenHBand="1" w:firstRowFirstColumn="0" w:firstRowLastColumn="0" w:lastRowFirstColumn="0" w:lastRowLastColumn="0"/>
          <w:cantSplit/>
          <w:trHeight w:val="20"/>
        </w:trPr>
        <w:tc>
          <w:tcPr>
            <w:tcW w:w="1560" w:type="dxa"/>
            <w:vAlign w:val="bottom"/>
            <w:hideMark/>
          </w:tcPr>
          <w:p w14:paraId="187F706E" w14:textId="4CCBE565"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3739" w:type="dxa"/>
            <w:vAlign w:val="bottom"/>
            <w:hideMark/>
          </w:tcPr>
          <w:p w14:paraId="6C08F41D" w14:textId="4AC48D1D" w:rsidR="00161DAC" w:rsidRPr="004E1DBD" w:rsidRDefault="00161DAC" w:rsidP="00465B3C">
            <w:pPr>
              <w:spacing w:before="60" w:after="60"/>
              <w:rPr>
                <w:rFonts w:eastAsia="Times New Roman" w:cs="Arial"/>
                <w:sz w:val="20"/>
                <w:szCs w:val="20"/>
                <w:lang w:eastAsia="en-GB"/>
              </w:rPr>
            </w:pPr>
            <w:r w:rsidRPr="004E1DBD">
              <w:rPr>
                <w:rFonts w:cs="Arial"/>
                <w:sz w:val="20"/>
                <w:szCs w:val="20"/>
              </w:rPr>
              <w:t> </w:t>
            </w:r>
          </w:p>
        </w:tc>
        <w:tc>
          <w:tcPr>
            <w:tcW w:w="1931" w:type="dxa"/>
            <w:noWrap/>
            <w:vAlign w:val="bottom"/>
            <w:hideMark/>
          </w:tcPr>
          <w:p w14:paraId="2E89F9AB" w14:textId="0051DDA3" w:rsidR="00161DAC" w:rsidRPr="004E1DBD" w:rsidRDefault="00161DAC" w:rsidP="00465B3C">
            <w:pPr>
              <w:spacing w:before="60" w:after="60"/>
              <w:rPr>
                <w:rFonts w:eastAsia="Times New Roman" w:cs="Arial"/>
                <w:sz w:val="20"/>
                <w:szCs w:val="20"/>
                <w:lang w:eastAsia="en-GB"/>
              </w:rPr>
            </w:pPr>
            <w:r w:rsidRPr="004E1DBD">
              <w:rPr>
                <w:rFonts w:cs="Arial"/>
                <w:sz w:val="20"/>
                <w:szCs w:val="20"/>
              </w:rPr>
              <w:t>20.2.6.2</w:t>
            </w:r>
          </w:p>
        </w:tc>
        <w:tc>
          <w:tcPr>
            <w:tcW w:w="2976" w:type="dxa"/>
            <w:noWrap/>
            <w:vAlign w:val="bottom"/>
            <w:hideMark/>
          </w:tcPr>
          <w:p w14:paraId="7E3BD5C8" w14:textId="0FEFE4AA" w:rsidR="00161DAC" w:rsidRPr="004E1DBD" w:rsidRDefault="00161DAC" w:rsidP="00465B3C">
            <w:pPr>
              <w:spacing w:before="60" w:after="60"/>
              <w:rPr>
                <w:rFonts w:eastAsia="Times New Roman" w:cs="Arial"/>
                <w:sz w:val="20"/>
                <w:szCs w:val="20"/>
                <w:lang w:eastAsia="en-GB"/>
              </w:rPr>
            </w:pPr>
            <w:r w:rsidRPr="004E1DBD">
              <w:rPr>
                <w:rFonts w:cs="Arial"/>
                <w:sz w:val="20"/>
                <w:szCs w:val="20"/>
              </w:rPr>
              <w:t>Gravy, sauces &amp; condiments</w:t>
            </w:r>
          </w:p>
        </w:tc>
        <w:tc>
          <w:tcPr>
            <w:tcW w:w="1560" w:type="dxa"/>
            <w:noWrap/>
            <w:vAlign w:val="bottom"/>
            <w:hideMark/>
          </w:tcPr>
          <w:p w14:paraId="5885507E" w14:textId="5E476158"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c>
          <w:tcPr>
            <w:tcW w:w="1701" w:type="dxa"/>
            <w:noWrap/>
            <w:vAlign w:val="bottom"/>
            <w:hideMark/>
          </w:tcPr>
          <w:p w14:paraId="0D6DCEEA" w14:textId="6CEF1EAC"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251.7</w:t>
            </w:r>
          </w:p>
        </w:tc>
        <w:tc>
          <w:tcPr>
            <w:tcW w:w="1931" w:type="dxa"/>
            <w:noWrap/>
            <w:vAlign w:val="bottom"/>
            <w:hideMark/>
          </w:tcPr>
          <w:p w14:paraId="48A79204" w14:textId="29D3CCB9" w:rsidR="00161DAC" w:rsidRPr="004E1DBD" w:rsidRDefault="00161DAC" w:rsidP="00465B3C">
            <w:pPr>
              <w:spacing w:before="60" w:after="60"/>
              <w:jc w:val="center"/>
              <w:rPr>
                <w:rFonts w:eastAsia="Times New Roman" w:cs="Arial"/>
                <w:sz w:val="20"/>
                <w:szCs w:val="20"/>
                <w:lang w:eastAsia="en-GB"/>
              </w:rPr>
            </w:pPr>
            <w:r w:rsidRPr="004E1DBD">
              <w:rPr>
                <w:rFonts w:cs="Arial"/>
                <w:sz w:val="20"/>
                <w:szCs w:val="20"/>
              </w:rPr>
              <w:t> </w:t>
            </w:r>
          </w:p>
        </w:tc>
      </w:tr>
    </w:tbl>
    <w:p w14:paraId="6B5D5EC1" w14:textId="77777777" w:rsidR="00B84599" w:rsidRPr="00B84599" w:rsidRDefault="00724574" w:rsidP="00724574">
      <w:pPr>
        <w:rPr>
          <w:sz w:val="18"/>
        </w:rPr>
      </w:pPr>
      <w:r w:rsidRPr="00B84599">
        <w:rPr>
          <w:sz w:val="18"/>
        </w:rPr>
        <w:t>*</w:t>
      </w:r>
      <w:r w:rsidR="00B84599" w:rsidRPr="00B84599">
        <w:rPr>
          <w:sz w:val="18"/>
        </w:rPr>
        <w:t xml:space="preserve"> As steviol equivalents.</w:t>
      </w:r>
    </w:p>
    <w:p w14:paraId="1FE9A697" w14:textId="26322599" w:rsidR="00724574" w:rsidRPr="00B84599" w:rsidRDefault="00B84599" w:rsidP="00724574">
      <w:pPr>
        <w:rPr>
          <w:sz w:val="18"/>
        </w:rPr>
      </w:pPr>
      <w:r w:rsidRPr="00B84599">
        <w:rPr>
          <w:sz w:val="18"/>
        </w:rPr>
        <w:t xml:space="preserve">** </w:t>
      </w:r>
      <w:r w:rsidR="00724574" w:rsidRPr="006C59BE">
        <w:rPr>
          <w:i/>
          <w:sz w:val="18"/>
        </w:rPr>
        <w:t>Refine</w:t>
      </w:r>
      <w:r w:rsidR="001873D6" w:rsidRPr="006C59BE">
        <w:rPr>
          <w:i/>
          <w:sz w:val="18"/>
        </w:rPr>
        <w:t>d</w:t>
      </w:r>
      <w:r w:rsidR="00465B3C">
        <w:rPr>
          <w:sz w:val="18"/>
        </w:rPr>
        <w:t xml:space="preserve"> s</w:t>
      </w:r>
      <w:r w:rsidR="00724574" w:rsidRPr="00B84599">
        <w:rPr>
          <w:sz w:val="18"/>
        </w:rPr>
        <w:t xml:space="preserve">cenario used a weighted concentration based on industry use data, and market share data from Industry and Euromonitor 2018. </w:t>
      </w:r>
    </w:p>
    <w:p w14:paraId="3D74E9B9" w14:textId="58CB9EA6" w:rsidR="00724574" w:rsidRPr="00B84599" w:rsidRDefault="00724574" w:rsidP="00724574">
      <w:pPr>
        <w:rPr>
          <w:rFonts w:cs="Arial"/>
          <w:sz w:val="18"/>
          <w:szCs w:val="20"/>
          <w:lang w:eastAsia="en-GB"/>
        </w:rPr>
      </w:pPr>
      <w:r w:rsidRPr="00B84599">
        <w:rPr>
          <w:rFonts w:cs="Arial"/>
          <w:sz w:val="18"/>
          <w:szCs w:val="20"/>
          <w:vertAlign w:val="superscript"/>
          <w:lang w:eastAsia="en-GB"/>
        </w:rPr>
        <w:t>∞</w:t>
      </w:r>
      <w:r w:rsidR="00465B3C">
        <w:rPr>
          <w:rFonts w:cs="Arial"/>
          <w:sz w:val="18"/>
          <w:szCs w:val="20"/>
          <w:vertAlign w:val="superscript"/>
          <w:lang w:eastAsia="en-GB"/>
        </w:rPr>
        <w:t xml:space="preserve"> </w:t>
      </w:r>
      <w:r w:rsidRPr="00B84599">
        <w:rPr>
          <w:rFonts w:cs="Arial"/>
          <w:sz w:val="18"/>
          <w:szCs w:val="20"/>
          <w:lang w:eastAsia="en-GB"/>
        </w:rPr>
        <w:t xml:space="preserve">Extension of use </w:t>
      </w:r>
      <w:r w:rsidR="005727F1" w:rsidRPr="00B84599">
        <w:rPr>
          <w:rFonts w:cs="Arial"/>
          <w:sz w:val="18"/>
          <w:szCs w:val="20"/>
          <w:lang w:eastAsia="en-GB"/>
        </w:rPr>
        <w:t>requested by</w:t>
      </w:r>
      <w:r w:rsidRPr="00B84599">
        <w:rPr>
          <w:rFonts w:cs="Arial"/>
          <w:sz w:val="18"/>
          <w:szCs w:val="20"/>
          <w:lang w:eastAsia="en-GB"/>
        </w:rPr>
        <w:t xml:space="preserve"> applicant</w:t>
      </w:r>
      <w:r w:rsidR="001873D6" w:rsidRPr="00B84599">
        <w:rPr>
          <w:rFonts w:cs="Arial"/>
          <w:sz w:val="18"/>
          <w:szCs w:val="20"/>
          <w:lang w:eastAsia="en-GB"/>
        </w:rPr>
        <w:t>. The concentration of 200 mg/kg was only used in the ‘</w:t>
      </w:r>
      <w:r w:rsidR="001873D6" w:rsidRPr="006C59BE">
        <w:rPr>
          <w:rFonts w:cs="Arial"/>
          <w:i/>
          <w:sz w:val="18"/>
          <w:szCs w:val="20"/>
          <w:lang w:eastAsia="en-GB"/>
        </w:rPr>
        <w:t>Refined extension of use</w:t>
      </w:r>
      <w:r w:rsidR="001873D6" w:rsidRPr="00B84599">
        <w:rPr>
          <w:rFonts w:cs="Arial"/>
          <w:sz w:val="18"/>
          <w:szCs w:val="20"/>
          <w:lang w:eastAsia="en-GB"/>
        </w:rPr>
        <w:t>’ scenario.</w:t>
      </w:r>
    </w:p>
    <w:p w14:paraId="2DC16581" w14:textId="77777777" w:rsidR="00B84599" w:rsidRDefault="00B84599" w:rsidP="00724574">
      <w:pPr>
        <w:rPr>
          <w:rFonts w:cs="Arial"/>
          <w:szCs w:val="20"/>
          <w:lang w:eastAsia="en-GB"/>
        </w:rPr>
      </w:pPr>
    </w:p>
    <w:p w14:paraId="60B9BF78" w14:textId="77777777" w:rsidR="00724574" w:rsidRPr="0001652F" w:rsidRDefault="00724574" w:rsidP="00724574">
      <w:pPr>
        <w:sectPr w:rsidR="00724574" w:rsidRPr="0001652F" w:rsidSect="0032102D">
          <w:pgSz w:w="16838" w:h="11906" w:orient="landscape"/>
          <w:pgMar w:top="720" w:right="720" w:bottom="720" w:left="720" w:header="709" w:footer="709" w:gutter="0"/>
          <w:cols w:space="708"/>
          <w:docGrid w:linePitch="360"/>
        </w:sectPr>
      </w:pPr>
    </w:p>
    <w:p w14:paraId="02CCA4F3" w14:textId="141CF2CC" w:rsidR="00D4148C" w:rsidRDefault="004A36C3" w:rsidP="000C7085">
      <w:pPr>
        <w:pStyle w:val="Heading3"/>
      </w:pPr>
      <w:bookmarkStart w:id="149" w:name="_Toc523830675"/>
      <w:bookmarkStart w:id="150" w:name="_Toc526337845"/>
      <w:bookmarkStart w:id="151" w:name="_Toc526343104"/>
      <w:bookmarkStart w:id="152" w:name="_Toc269201841"/>
      <w:bookmarkStart w:id="153" w:name="_Toc360028619"/>
      <w:bookmarkStart w:id="154" w:name="_Toc415041927"/>
      <w:bookmarkStart w:id="155" w:name="_Toc516668840"/>
      <w:bookmarkStart w:id="156" w:name="_Toc517709898"/>
      <w:bookmarkStart w:id="157" w:name="_Toc518388298"/>
      <w:bookmarkStart w:id="158" w:name="_Toc518654996"/>
      <w:bookmarkStart w:id="159" w:name="_Toc522719002"/>
      <w:bookmarkStart w:id="160" w:name="_Toc522712040"/>
      <w:r>
        <w:lastRenderedPageBreak/>
        <w:t xml:space="preserve">4.2.5 </w:t>
      </w:r>
      <w:r w:rsidR="00D4148C">
        <w:t>Brand loyalty</w:t>
      </w:r>
      <w:bookmarkEnd w:id="149"/>
      <w:bookmarkEnd w:id="150"/>
      <w:bookmarkEnd w:id="151"/>
    </w:p>
    <w:p w14:paraId="01828D2A" w14:textId="5EE6B04F" w:rsidR="00D4148C" w:rsidRDefault="00B86B11" w:rsidP="00F87347">
      <w:r>
        <w:t xml:space="preserve">The </w:t>
      </w:r>
      <w:r w:rsidRPr="000E0A06">
        <w:rPr>
          <w:i/>
        </w:rPr>
        <w:t>Refined</w:t>
      </w:r>
      <w:r>
        <w:t xml:space="preserve"> assessment is based on weighted concentrations of steviol glycosides that would be indicative of likely concentrations and therefore exposures to steviol glycosides from across the whole diet over a lifetime. Consumers can be brand loyal when it comes to selecting and consuming foods. An assessment </w:t>
      </w:r>
      <w:r w:rsidR="000E0A06">
        <w:t>of selected</w:t>
      </w:r>
      <w:r w:rsidR="00984750">
        <w:t xml:space="preserve"> foods that </w:t>
      </w:r>
      <w:r w:rsidR="000E0A06">
        <w:t xml:space="preserve">are frequently consumed, are commonly selected based on brand, and </w:t>
      </w:r>
      <w:r w:rsidR="00984750">
        <w:t xml:space="preserve">contribute </w:t>
      </w:r>
      <w:r>
        <w:t>to the</w:t>
      </w:r>
      <w:r w:rsidR="00984750">
        <w:t xml:space="preserve"> estimated </w:t>
      </w:r>
      <w:r>
        <w:t>dietary exposure</w:t>
      </w:r>
      <w:r w:rsidR="00984750">
        <w:t>s</w:t>
      </w:r>
      <w:r>
        <w:t xml:space="preserve"> </w:t>
      </w:r>
      <w:r w:rsidR="000E0A06">
        <w:t xml:space="preserve">was undertaken </w:t>
      </w:r>
      <w:r>
        <w:t xml:space="preserve">to determine how much of </w:t>
      </w:r>
      <w:r w:rsidR="000E0A06">
        <w:t>them</w:t>
      </w:r>
      <w:r>
        <w:t xml:space="preserve"> could be consumed on a daily basis before exceeding the ADI</w:t>
      </w:r>
      <w:r w:rsidR="000E0A06">
        <w:t xml:space="preserve">. This </w:t>
      </w:r>
      <w:r>
        <w:t xml:space="preserve">was compared </w:t>
      </w:r>
      <w:r w:rsidR="00422555">
        <w:t xml:space="preserve">to high consumption amounts </w:t>
      </w:r>
      <w:r w:rsidR="00191C63">
        <w:t xml:space="preserve">for the foods </w:t>
      </w:r>
      <w:r w:rsidR="00422555">
        <w:t>reported from nutrition surveys</w:t>
      </w:r>
      <w:r w:rsidR="000E0A06">
        <w:t xml:space="preserve"> to determine if exceeding the ADI would be likely</w:t>
      </w:r>
      <w:r w:rsidR="00422555">
        <w:t>.</w:t>
      </w:r>
    </w:p>
    <w:p w14:paraId="5FFDB576" w14:textId="77777777" w:rsidR="00D4148C" w:rsidRPr="00B86B11" w:rsidRDefault="00D4148C"/>
    <w:p w14:paraId="20D2413D" w14:textId="48CC9D4C" w:rsidR="00724574" w:rsidRPr="00FE2953" w:rsidRDefault="004A36C3" w:rsidP="000C7085">
      <w:pPr>
        <w:pStyle w:val="Heading3"/>
      </w:pPr>
      <w:bookmarkStart w:id="161" w:name="_Toc523830676"/>
      <w:bookmarkStart w:id="162" w:name="_Toc526337846"/>
      <w:bookmarkStart w:id="163" w:name="_Toc526343105"/>
      <w:r>
        <w:t xml:space="preserve">4.2.6 </w:t>
      </w:r>
      <w:r w:rsidR="00724574" w:rsidRPr="00FE2953">
        <w:t>Assumptions and limitations of the dietary exposure assessment</w:t>
      </w:r>
      <w:bookmarkEnd w:id="152"/>
      <w:bookmarkEnd w:id="153"/>
      <w:bookmarkEnd w:id="154"/>
      <w:bookmarkEnd w:id="155"/>
      <w:bookmarkEnd w:id="156"/>
      <w:bookmarkEnd w:id="157"/>
      <w:bookmarkEnd w:id="158"/>
      <w:bookmarkEnd w:id="159"/>
      <w:bookmarkEnd w:id="160"/>
      <w:bookmarkEnd w:id="161"/>
      <w:bookmarkEnd w:id="162"/>
      <w:bookmarkEnd w:id="163"/>
    </w:p>
    <w:p w14:paraId="3D1D8160" w14:textId="77777777" w:rsidR="00724574" w:rsidRDefault="00724574" w:rsidP="00724574">
      <w:pPr>
        <w:keepNext/>
        <w:keepLines/>
      </w:pPr>
      <w:r w:rsidRPr="00FE2953">
        <w:t>The aim of the dietary exposure assessment was to make the most realistic estimation of dietary exposures to steviol glycosides as possible. However, where significant uncertainties in the data existed, conservative assumptions were generally used to ensure that the estimated dietary exposure was not an underestimate of exposure.</w:t>
      </w:r>
    </w:p>
    <w:p w14:paraId="2FF90CE7" w14:textId="77777777" w:rsidR="00724574" w:rsidRPr="00FE2953" w:rsidRDefault="00724574" w:rsidP="00724574">
      <w:pPr>
        <w:keepNext/>
        <w:keepLines/>
      </w:pPr>
    </w:p>
    <w:p w14:paraId="0070C945" w14:textId="77777777" w:rsidR="00724574" w:rsidRPr="006C59BE" w:rsidRDefault="00724574" w:rsidP="00724574">
      <w:pPr>
        <w:keepNext/>
        <w:keepLines/>
      </w:pPr>
      <w:r w:rsidRPr="006C59BE">
        <w:t>Assumptions made in the dietary exposure assessment included:</w:t>
      </w:r>
    </w:p>
    <w:p w14:paraId="4A7B77A3" w14:textId="6BCAE8DB" w:rsidR="00724574" w:rsidRPr="006C59BE" w:rsidRDefault="00724574" w:rsidP="001677B0">
      <w:pPr>
        <w:pStyle w:val="ListParagraph"/>
        <w:numPr>
          <w:ilvl w:val="0"/>
          <w:numId w:val="4"/>
        </w:numPr>
      </w:pPr>
      <w:r w:rsidRPr="006C59BE">
        <w:t xml:space="preserve">If less than 100% of the market was represented by industry data, or industry data were not provided for a food category, the remaining </w:t>
      </w:r>
      <w:r w:rsidR="005727F1" w:rsidRPr="006C59BE">
        <w:t>market share</w:t>
      </w:r>
      <w:r w:rsidRPr="006C59BE">
        <w:t xml:space="preserve"> proportion was assigned the MPL in the Code. The MPLs were used for the portion of the category for which no industry data was available as it could not be assumed that concentration data from one company is representative of all foods in the category.</w:t>
      </w:r>
    </w:p>
    <w:p w14:paraId="6A7C29EE" w14:textId="30F9106B" w:rsidR="00724574" w:rsidRPr="006C59BE" w:rsidRDefault="00724574" w:rsidP="001677B0">
      <w:pPr>
        <w:pStyle w:val="ListParagraph"/>
        <w:numPr>
          <w:ilvl w:val="0"/>
          <w:numId w:val="4"/>
        </w:numPr>
        <w:rPr>
          <w:rFonts w:eastAsiaTheme="majorEastAsia"/>
        </w:rPr>
      </w:pPr>
      <w:r w:rsidRPr="001E3B77">
        <w:t xml:space="preserve">If there were data for both </w:t>
      </w:r>
      <w:r>
        <w:t>Australia and New Zealand</w:t>
      </w:r>
      <w:r w:rsidRPr="001E3B77">
        <w:t>, generally the higher</w:t>
      </w:r>
      <w:r>
        <w:t xml:space="preserve"> of the two was used for the dietary exposure assessment</w:t>
      </w:r>
      <w:r w:rsidRPr="001E3B77">
        <w:t xml:space="preserve">s for both countries on the assumption that food manufactured in either country </w:t>
      </w:r>
      <w:r>
        <w:t>could be imported, sold</w:t>
      </w:r>
      <w:r w:rsidRPr="001E3B77">
        <w:t xml:space="preserve"> and consumed in the other. If data for only one country was available, then this value was assigned for both countries.</w:t>
      </w:r>
      <w:r>
        <w:t xml:space="preserve"> </w:t>
      </w:r>
      <w:r w:rsidRPr="006C59BE">
        <w:rPr>
          <w:rFonts w:eastAsiaTheme="majorEastAsia"/>
        </w:rPr>
        <w:t>The final concentrations that were assigned to each of the permitted food categories were then used in the dietary exposure assessment</w:t>
      </w:r>
      <w:r>
        <w:t>.</w:t>
      </w:r>
    </w:p>
    <w:p w14:paraId="3A7518ED" w14:textId="464AD4D5" w:rsidR="00161DAC" w:rsidRDefault="00161DAC" w:rsidP="006076BE">
      <w:pPr>
        <w:pStyle w:val="ListParagraph"/>
        <w:numPr>
          <w:ilvl w:val="0"/>
          <w:numId w:val="4"/>
        </w:numPr>
        <w:rPr>
          <w:rFonts w:eastAsiaTheme="majorEastAsia"/>
        </w:rPr>
      </w:pPr>
      <w:r>
        <w:rPr>
          <w:rFonts w:eastAsiaTheme="majorEastAsia"/>
        </w:rPr>
        <w:t>The category tabletop sweeteners</w:t>
      </w:r>
      <w:r w:rsidR="00724574">
        <w:rPr>
          <w:rFonts w:eastAsiaTheme="majorEastAsia"/>
        </w:rPr>
        <w:t xml:space="preserve"> is permitted at </w:t>
      </w:r>
      <w:r w:rsidR="00925838">
        <w:rPr>
          <w:rFonts w:eastAsiaTheme="majorEastAsia"/>
        </w:rPr>
        <w:t>Good Manufacturing Practice (</w:t>
      </w:r>
      <w:r w:rsidR="00724574">
        <w:rPr>
          <w:rFonts w:eastAsiaTheme="majorEastAsia"/>
        </w:rPr>
        <w:t>GMP</w:t>
      </w:r>
      <w:r w:rsidR="00925838">
        <w:rPr>
          <w:rFonts w:eastAsiaTheme="majorEastAsia"/>
        </w:rPr>
        <w:t>)</w:t>
      </w:r>
      <w:r w:rsidR="00724574">
        <w:rPr>
          <w:rFonts w:eastAsiaTheme="majorEastAsia"/>
        </w:rPr>
        <w:t xml:space="preserve"> in Schedule 15 of the Code, therefore in the absence of industry data a concentration of 400,000</w:t>
      </w:r>
      <w:r w:rsidR="007A2A3B">
        <w:rPr>
          <w:rFonts w:eastAsiaTheme="majorEastAsia"/>
        </w:rPr>
        <w:t xml:space="preserve"> </w:t>
      </w:r>
      <w:r w:rsidR="00724574">
        <w:rPr>
          <w:rFonts w:eastAsiaTheme="majorEastAsia"/>
        </w:rPr>
        <w:t>mg/kg was assigned</w:t>
      </w:r>
      <w:r w:rsidR="00925838">
        <w:rPr>
          <w:rFonts w:eastAsiaTheme="majorEastAsia"/>
        </w:rPr>
        <w:t xml:space="preserve"> based on </w:t>
      </w:r>
      <w:r w:rsidR="00F02804">
        <w:rPr>
          <w:rFonts w:eastAsiaTheme="majorEastAsia"/>
        </w:rPr>
        <w:t>data from industry obtained in a previous a</w:t>
      </w:r>
      <w:r>
        <w:rPr>
          <w:rFonts w:eastAsiaTheme="majorEastAsia"/>
        </w:rPr>
        <w:t xml:space="preserve">ssessment of steviol glycosides </w:t>
      </w:r>
      <w:r w:rsidR="00360D54">
        <w:rPr>
          <w:rFonts w:eastAsiaTheme="majorEastAsia"/>
        </w:rPr>
        <w:t>(FSANZ 2011)</w:t>
      </w:r>
      <w:r>
        <w:rPr>
          <w:rFonts w:eastAsiaTheme="majorEastAsia"/>
        </w:rPr>
        <w:t>.</w:t>
      </w:r>
    </w:p>
    <w:p w14:paraId="3FD3C8D8" w14:textId="0A24BDF3" w:rsidR="0013468F" w:rsidRPr="006076BE" w:rsidRDefault="0013468F" w:rsidP="006076BE">
      <w:pPr>
        <w:pStyle w:val="ListParagraph"/>
        <w:numPr>
          <w:ilvl w:val="0"/>
          <w:numId w:val="4"/>
        </w:numPr>
        <w:rPr>
          <w:rFonts w:eastAsiaTheme="majorEastAsia"/>
        </w:rPr>
      </w:pPr>
      <w:r>
        <w:rPr>
          <w:rFonts w:eastAsiaTheme="majorEastAsia"/>
        </w:rPr>
        <w:t>Where industry concentration data were provided and it was not specified as to the form of the steviol glycosides, it was assumed that the concentration was as steviol equivalents. If the actual concentration was in fact for steviol glycosides, the concentration used in the dietary exposure assessment would be a worst case scenario as the amount of steviol equivalents would be lower.</w:t>
      </w:r>
    </w:p>
    <w:p w14:paraId="0DBAED82" w14:textId="3D659AD2" w:rsidR="00724574" w:rsidRPr="006076BE" w:rsidRDefault="00724574" w:rsidP="006076BE">
      <w:pPr>
        <w:rPr>
          <w:rFonts w:eastAsiaTheme="majorEastAsia"/>
        </w:rPr>
      </w:pPr>
    </w:p>
    <w:p w14:paraId="57364B26" w14:textId="0AA036B3" w:rsidR="00724574" w:rsidRDefault="00724574" w:rsidP="00724574">
      <w:pPr>
        <w:pStyle w:val="ListParagraph"/>
        <w:ind w:left="360"/>
      </w:pPr>
      <w:r w:rsidRPr="002102C2">
        <w:t>In addition</w:t>
      </w:r>
      <w:r w:rsidRPr="00730981">
        <w:t xml:space="preserve"> to the specific assumptions made in relation to this </w:t>
      </w:r>
      <w:r>
        <w:t xml:space="preserve">dietary </w:t>
      </w:r>
      <w:r w:rsidR="00925838">
        <w:t xml:space="preserve">exposure </w:t>
      </w:r>
      <w:r>
        <w:t>assessment</w:t>
      </w:r>
      <w:r w:rsidRPr="00730981">
        <w:t xml:space="preserve">, there </w:t>
      </w:r>
      <w:r>
        <w:t xml:space="preserve">were a </w:t>
      </w:r>
      <w:r w:rsidRPr="004F7030">
        <w:t>number of limitations:</w:t>
      </w:r>
    </w:p>
    <w:p w14:paraId="58EDD01D" w14:textId="32FEFD72" w:rsidR="00724574" w:rsidRPr="00973129" w:rsidRDefault="00724574" w:rsidP="00724574">
      <w:pPr>
        <w:pStyle w:val="ListParagraph"/>
        <w:numPr>
          <w:ilvl w:val="0"/>
          <w:numId w:val="4"/>
        </w:numPr>
      </w:pPr>
      <w:r>
        <w:t xml:space="preserve">When </w:t>
      </w:r>
      <w:r w:rsidRPr="001E3B77">
        <w:t>less than 100% of the market was represented</w:t>
      </w:r>
      <w:r>
        <w:t xml:space="preserve"> by industry provided data </w:t>
      </w:r>
      <w:r w:rsidRPr="001E3B77">
        <w:t xml:space="preserve">the remaining proportion was assigned the MPL </w:t>
      </w:r>
      <w:r>
        <w:t>to derive a weighted concentration</w:t>
      </w:r>
      <w:r w:rsidR="00925838">
        <w:t>. Where there were no industry data the MPL was used.</w:t>
      </w:r>
      <w:r>
        <w:t xml:space="preserve"> </w:t>
      </w:r>
      <w:r w:rsidR="00925838">
        <w:t>This results in a mixture of maximum and actual use levels being used in the dietary exposure assessment which</w:t>
      </w:r>
      <w:r>
        <w:t xml:space="preserve"> has likely skewed the real percentage of food contributors to </w:t>
      </w:r>
      <w:r>
        <w:rPr>
          <w:lang w:eastAsia="en-AU"/>
        </w:rPr>
        <w:t>steviol glycoside</w:t>
      </w:r>
      <w:r w:rsidRPr="00973129">
        <w:rPr>
          <w:lang w:eastAsia="en-AU"/>
        </w:rPr>
        <w:t xml:space="preserve"> </w:t>
      </w:r>
      <w:r>
        <w:rPr>
          <w:lang w:eastAsia="en-AU"/>
        </w:rPr>
        <w:t xml:space="preserve">dietary </w:t>
      </w:r>
      <w:r w:rsidRPr="00973129">
        <w:rPr>
          <w:lang w:eastAsia="en-AU"/>
        </w:rPr>
        <w:t>exposures.</w:t>
      </w:r>
    </w:p>
    <w:p w14:paraId="3655C42C" w14:textId="7B4DCF8F" w:rsidR="00724574" w:rsidRDefault="00724574" w:rsidP="00724574">
      <w:pPr>
        <w:pStyle w:val="ListParagraph"/>
        <w:numPr>
          <w:ilvl w:val="0"/>
          <w:numId w:val="4"/>
        </w:numPr>
      </w:pPr>
      <w:r>
        <w:t xml:space="preserve">Due to </w:t>
      </w:r>
      <w:r w:rsidRPr="00730981">
        <w:t xml:space="preserve">uncertainties </w:t>
      </w:r>
      <w:r>
        <w:t xml:space="preserve">or gaps arising from the limited amount of industry data on steviol glycoside use or non-use, and product market share, the remaining </w:t>
      </w:r>
      <w:r w:rsidRPr="001E3B77">
        <w:t xml:space="preserve">proportion </w:t>
      </w:r>
      <w:r>
        <w:t xml:space="preserve">of market share </w:t>
      </w:r>
      <w:r w:rsidRPr="001E3B77">
        <w:t xml:space="preserve">was assigned the </w:t>
      </w:r>
      <w:r>
        <w:t xml:space="preserve">MPL, thus the concentrations used were conservative and may have led to an overestimation of the </w:t>
      </w:r>
      <w:r w:rsidR="00223383">
        <w:t xml:space="preserve">actual </w:t>
      </w:r>
      <w:r>
        <w:t>dietary exposure to steviol glycosides.</w:t>
      </w:r>
    </w:p>
    <w:p w14:paraId="1353AB72" w14:textId="3A80C840" w:rsidR="00724574" w:rsidRPr="009D381F" w:rsidRDefault="009D381F" w:rsidP="007F1F71">
      <w:pPr>
        <w:pStyle w:val="ListParagraph"/>
        <w:numPr>
          <w:ilvl w:val="0"/>
          <w:numId w:val="4"/>
        </w:numPr>
      </w:pPr>
      <w:r>
        <w:lastRenderedPageBreak/>
        <w:t xml:space="preserve">As only one day of </w:t>
      </w:r>
      <w:r w:rsidR="00223383">
        <w:t xml:space="preserve">food consumption </w:t>
      </w:r>
      <w:r>
        <w:t xml:space="preserve">survey data are available </w:t>
      </w:r>
      <w:r w:rsidR="00223383">
        <w:t xml:space="preserve">from </w:t>
      </w:r>
      <w:r>
        <w:t>New</w:t>
      </w:r>
      <w:r w:rsidR="00191C63">
        <w:t xml:space="preserve"> Zealand n</w:t>
      </w:r>
      <w:r>
        <w:t xml:space="preserve">utrition </w:t>
      </w:r>
      <w:r w:rsidR="00191C63">
        <w:t>s</w:t>
      </w:r>
      <w:r>
        <w:t>urveys</w:t>
      </w:r>
      <w:r w:rsidR="00223383">
        <w:t>,</w:t>
      </w:r>
      <w:r>
        <w:t xml:space="preserve"> the estimate</w:t>
      </w:r>
      <w:r w:rsidR="00223383">
        <w:t>d</w:t>
      </w:r>
      <w:r>
        <w:t xml:space="preserve"> exposure</w:t>
      </w:r>
      <w:r w:rsidR="00223383">
        <w:t>s</w:t>
      </w:r>
      <w:r>
        <w:t xml:space="preserve"> are likely </w:t>
      </w:r>
      <w:r w:rsidR="007F1F71">
        <w:t xml:space="preserve">to be </w:t>
      </w:r>
      <w:r>
        <w:t>over-</w:t>
      </w:r>
      <w:r w:rsidR="007F1F71">
        <w:t>e</w:t>
      </w:r>
      <w:r>
        <w:t>stim</w:t>
      </w:r>
      <w:r w:rsidR="007F1F71">
        <w:t>a</w:t>
      </w:r>
      <w:r>
        <w:t>ted</w:t>
      </w:r>
      <w:r w:rsidR="00422555">
        <w:t xml:space="preserve"> (particularly at the high percentiles of exposure)</w:t>
      </w:r>
      <w:r>
        <w:t xml:space="preserve"> given </w:t>
      </w:r>
      <w:r w:rsidR="00223383">
        <w:t xml:space="preserve">that </w:t>
      </w:r>
      <w:r>
        <w:t>two days of survey data</w:t>
      </w:r>
      <w:r w:rsidR="007F1F71">
        <w:t xml:space="preserve"> has been</w:t>
      </w:r>
      <w:r>
        <w:t xml:space="preserve"> established as </w:t>
      </w:r>
      <w:r w:rsidR="00223383">
        <w:t xml:space="preserve">more </w:t>
      </w:r>
      <w:r>
        <w:t xml:space="preserve">appropriate </w:t>
      </w:r>
      <w:r w:rsidR="007F1F71">
        <w:t>for estimating long</w:t>
      </w:r>
      <w:r>
        <w:t xml:space="preserve"> term cons</w:t>
      </w:r>
      <w:r w:rsidR="007F1F71">
        <w:t>umption</w:t>
      </w:r>
      <w:r w:rsidR="00422555">
        <w:t xml:space="preserve"> and therefore dietary exposure</w:t>
      </w:r>
      <w:r>
        <w:t>.</w:t>
      </w:r>
    </w:p>
    <w:p w14:paraId="0BE4F7A1" w14:textId="4B478D77" w:rsidR="00724574" w:rsidRDefault="00724574" w:rsidP="004A36C3">
      <w:pPr>
        <w:pStyle w:val="Heading2"/>
        <w:numPr>
          <w:ilvl w:val="1"/>
          <w:numId w:val="17"/>
        </w:numPr>
      </w:pPr>
      <w:bookmarkStart w:id="164" w:name="_Toc522719003"/>
      <w:bookmarkStart w:id="165" w:name="_Toc522712041"/>
      <w:bookmarkStart w:id="166" w:name="_Toc523830677"/>
      <w:bookmarkStart w:id="167" w:name="_Toc526337847"/>
      <w:bookmarkStart w:id="168" w:name="_Toc526343106"/>
      <w:r>
        <w:t>Dietary Exposure Assessment Results</w:t>
      </w:r>
      <w:bookmarkEnd w:id="164"/>
      <w:bookmarkEnd w:id="165"/>
      <w:bookmarkEnd w:id="166"/>
      <w:bookmarkEnd w:id="167"/>
      <w:bookmarkEnd w:id="168"/>
    </w:p>
    <w:p w14:paraId="69FC8C57" w14:textId="7C3BEED4" w:rsidR="00724574" w:rsidRPr="00A34828" w:rsidRDefault="004A36C3" w:rsidP="000C7085">
      <w:pPr>
        <w:pStyle w:val="Heading3"/>
      </w:pPr>
      <w:bookmarkStart w:id="169" w:name="_Toc522719004"/>
      <w:bookmarkStart w:id="170" w:name="_Toc522712042"/>
      <w:bookmarkStart w:id="171" w:name="_Toc523830678"/>
      <w:bookmarkStart w:id="172" w:name="_Toc526337848"/>
      <w:bookmarkStart w:id="173" w:name="_Toc526343107"/>
      <w:r>
        <w:t xml:space="preserve">4.3.1 </w:t>
      </w:r>
      <w:r w:rsidR="00724574">
        <w:t xml:space="preserve">Estimated Dietary exposure </w:t>
      </w:r>
      <w:r w:rsidR="006E2768">
        <w:t xml:space="preserve">to </w:t>
      </w:r>
      <w:r w:rsidR="00724574">
        <w:t>steviol glycosides</w:t>
      </w:r>
      <w:bookmarkEnd w:id="169"/>
      <w:bookmarkEnd w:id="170"/>
      <w:bookmarkEnd w:id="171"/>
      <w:bookmarkEnd w:id="172"/>
      <w:bookmarkEnd w:id="173"/>
    </w:p>
    <w:p w14:paraId="18A0CFEE" w14:textId="72A7601E" w:rsidR="00724574" w:rsidRDefault="007D7E46" w:rsidP="007D7E46">
      <w:pPr>
        <w:rPr>
          <w:rFonts w:cs="Arial"/>
        </w:rPr>
      </w:pPr>
      <w:r>
        <w:rPr>
          <w:lang w:bidi="ar-SA"/>
        </w:rPr>
        <w:t>All estimates of dietary exposure to steviol glycosides are expressed as steviol equivalents.</w:t>
      </w:r>
      <w:r w:rsidR="008F2B6E">
        <w:rPr>
          <w:lang w:bidi="ar-SA"/>
        </w:rPr>
        <w:t xml:space="preserve"> </w:t>
      </w:r>
      <w:r w:rsidR="00724574">
        <w:t>The estimated dietary exposures to steviol glycosides were calculated for ‘consumers’ of steviol glycosides only</w:t>
      </w:r>
      <w:r w:rsidR="00E91F4D">
        <w:t>, that is only the respondents in the survey population that have been exposed to steviol glycosides as a result of consuming a food in which it is permitted to be used</w:t>
      </w:r>
      <w:r w:rsidR="00724574">
        <w:t xml:space="preserve">. </w:t>
      </w:r>
      <w:r w:rsidR="005B1196">
        <w:t xml:space="preserve">For this assessment, all survey respondents were consumers of steviol glycosides (see Appendix </w:t>
      </w:r>
      <w:r w:rsidR="001D6923">
        <w:t>2,</w:t>
      </w:r>
      <w:r w:rsidR="005B1196">
        <w:t xml:space="preserve"> Table </w:t>
      </w:r>
      <w:r w:rsidR="001D6923">
        <w:t>2.1</w:t>
      </w:r>
      <w:r w:rsidR="005B1196">
        <w:t xml:space="preserve">) given the broad range of commonly consumed foods in which they are permitted to be used. </w:t>
      </w:r>
      <w:r w:rsidR="00724574">
        <w:t xml:space="preserve">The estimates of exposure were reported on </w:t>
      </w:r>
      <w:r w:rsidR="00724574" w:rsidRPr="008B2576">
        <w:rPr>
          <w:rFonts w:cs="Arial"/>
        </w:rPr>
        <w:t>a per kilogram body weight basis using each individual’s body weight</w:t>
      </w:r>
      <w:r w:rsidR="00724574">
        <w:rPr>
          <w:rFonts w:cs="Arial"/>
        </w:rPr>
        <w:t xml:space="preserve">, and expressed </w:t>
      </w:r>
      <w:r w:rsidR="00724574" w:rsidRPr="008B2576">
        <w:rPr>
          <w:rFonts w:cs="Arial"/>
        </w:rPr>
        <w:t>as a percentage of the ADI.</w:t>
      </w:r>
    </w:p>
    <w:p w14:paraId="6C55ADA2" w14:textId="2A437337" w:rsidR="00724574" w:rsidRDefault="00724574" w:rsidP="00724574">
      <w:pPr>
        <w:rPr>
          <w:rFonts w:cs="Arial"/>
        </w:rPr>
      </w:pPr>
    </w:p>
    <w:p w14:paraId="2DF30754" w14:textId="1931B136" w:rsidR="00724574" w:rsidRDefault="00C51305" w:rsidP="00724574">
      <w:pPr>
        <w:rPr>
          <w:rFonts w:cs="Arial"/>
        </w:rPr>
      </w:pPr>
      <w:r>
        <w:rPr>
          <w:rFonts w:cs="Arial"/>
        </w:rPr>
        <w:t xml:space="preserve">For the </w:t>
      </w:r>
      <w:r w:rsidR="005B1196">
        <w:rPr>
          <w:rFonts w:cs="Arial"/>
        </w:rPr>
        <w:t xml:space="preserve">initial </w:t>
      </w:r>
      <w:r w:rsidRPr="002D47F8">
        <w:rPr>
          <w:rFonts w:cs="Arial"/>
          <w:i/>
        </w:rPr>
        <w:t>B</w:t>
      </w:r>
      <w:r w:rsidR="00724574" w:rsidRPr="002D47F8">
        <w:rPr>
          <w:rFonts w:cs="Arial"/>
          <w:i/>
        </w:rPr>
        <w:t>aseline</w:t>
      </w:r>
      <w:r w:rsidR="00724574">
        <w:rPr>
          <w:rFonts w:cs="Arial"/>
        </w:rPr>
        <w:t xml:space="preserve"> scenario (i.e. steviol glycoside concentration</w:t>
      </w:r>
      <w:r w:rsidR="002D47F8">
        <w:rPr>
          <w:rFonts w:cs="Arial"/>
        </w:rPr>
        <w:t>s</w:t>
      </w:r>
      <w:r w:rsidR="00724574">
        <w:rPr>
          <w:rFonts w:cs="Arial"/>
        </w:rPr>
        <w:t xml:space="preserve"> at the MPL) the mean and 90</w:t>
      </w:r>
      <w:r w:rsidR="00724574" w:rsidRPr="001A5BFD">
        <w:rPr>
          <w:rFonts w:cs="Arial"/>
          <w:vertAlign w:val="superscript"/>
        </w:rPr>
        <w:t>th</w:t>
      </w:r>
      <w:r w:rsidR="00724574">
        <w:rPr>
          <w:rFonts w:cs="Arial"/>
        </w:rPr>
        <w:t xml:space="preserve"> </w:t>
      </w:r>
      <w:r w:rsidR="00724574" w:rsidRPr="00760647">
        <w:rPr>
          <w:rFonts w:cs="Arial"/>
        </w:rPr>
        <w:t xml:space="preserve">percentile of </w:t>
      </w:r>
      <w:r w:rsidR="00BD09C4" w:rsidRPr="00760647">
        <w:rPr>
          <w:rFonts w:cs="Arial"/>
        </w:rPr>
        <w:t xml:space="preserve">estimated </w:t>
      </w:r>
      <w:r w:rsidR="00724574" w:rsidRPr="00760647">
        <w:rPr>
          <w:rFonts w:cs="Arial"/>
        </w:rPr>
        <w:t>exposure</w:t>
      </w:r>
      <w:r w:rsidR="006C6D48" w:rsidRPr="00760647">
        <w:rPr>
          <w:rFonts w:cs="Arial"/>
        </w:rPr>
        <w:t>s</w:t>
      </w:r>
      <w:r w:rsidR="00724574" w:rsidRPr="00760647">
        <w:rPr>
          <w:rFonts w:cs="Arial"/>
        </w:rPr>
        <w:t xml:space="preserve"> for </w:t>
      </w:r>
      <w:r w:rsidR="00BD09C4" w:rsidRPr="00760647">
        <w:rPr>
          <w:rFonts w:cs="Arial"/>
        </w:rPr>
        <w:t xml:space="preserve">Australian and New Zealand </w:t>
      </w:r>
      <w:r w:rsidR="00724574" w:rsidRPr="00760647">
        <w:rPr>
          <w:rFonts w:cs="Arial"/>
        </w:rPr>
        <w:t xml:space="preserve">consumers </w:t>
      </w:r>
      <w:r w:rsidRPr="00760647">
        <w:rPr>
          <w:rFonts w:cs="Arial"/>
        </w:rPr>
        <w:t xml:space="preserve">ranged from </w:t>
      </w:r>
      <w:r w:rsidR="00B32E33" w:rsidRPr="00760647">
        <w:rPr>
          <w:rFonts w:cs="Arial"/>
        </w:rPr>
        <w:t>2.</w:t>
      </w:r>
      <w:r w:rsidR="00760647" w:rsidRPr="00760647">
        <w:rPr>
          <w:rFonts w:cs="Arial"/>
        </w:rPr>
        <w:t>2</w:t>
      </w:r>
      <w:r w:rsidR="00B32E33" w:rsidRPr="00760647">
        <w:rPr>
          <w:rFonts w:cs="Arial"/>
        </w:rPr>
        <w:t>-3.</w:t>
      </w:r>
      <w:r w:rsidR="00760647" w:rsidRPr="00760647">
        <w:rPr>
          <w:rFonts w:cs="Arial"/>
        </w:rPr>
        <w:t>3</w:t>
      </w:r>
      <w:r w:rsidR="004F2724" w:rsidRPr="00760647">
        <w:rPr>
          <w:rFonts w:cs="Arial"/>
        </w:rPr>
        <w:t xml:space="preserve"> mg/kg </w:t>
      </w:r>
      <w:r w:rsidR="005727F1" w:rsidRPr="00760647">
        <w:rPr>
          <w:rFonts w:cs="Arial"/>
        </w:rPr>
        <w:t>bw/</w:t>
      </w:r>
      <w:r w:rsidRPr="00760647">
        <w:rPr>
          <w:rFonts w:cs="Arial"/>
        </w:rPr>
        <w:t>day (</w:t>
      </w:r>
      <w:r w:rsidR="00B151DA" w:rsidRPr="00760647">
        <w:rPr>
          <w:rFonts w:cs="Arial"/>
        </w:rPr>
        <w:t>55</w:t>
      </w:r>
      <w:r w:rsidRPr="00760647">
        <w:rPr>
          <w:rFonts w:cs="Arial"/>
        </w:rPr>
        <w:t>-8</w:t>
      </w:r>
      <w:r w:rsidR="00760647" w:rsidRPr="00760647">
        <w:rPr>
          <w:rFonts w:cs="Arial"/>
        </w:rPr>
        <w:t>0</w:t>
      </w:r>
      <w:r w:rsidRPr="00760647">
        <w:rPr>
          <w:rFonts w:cs="Arial"/>
        </w:rPr>
        <w:t xml:space="preserve">% of the ADI) and </w:t>
      </w:r>
      <w:r w:rsidR="00760647" w:rsidRPr="00760647">
        <w:rPr>
          <w:rFonts w:cs="Arial"/>
        </w:rPr>
        <w:t>3.9</w:t>
      </w:r>
      <w:r w:rsidRPr="00760647">
        <w:rPr>
          <w:rFonts w:cs="Arial"/>
        </w:rPr>
        <w:t>-6.</w:t>
      </w:r>
      <w:r w:rsidR="00760647" w:rsidRPr="00760647">
        <w:rPr>
          <w:rFonts w:cs="Arial"/>
        </w:rPr>
        <w:t>5</w:t>
      </w:r>
      <w:r w:rsidR="00B32E33" w:rsidRPr="00760647">
        <w:rPr>
          <w:rFonts w:cs="Arial"/>
        </w:rPr>
        <w:t xml:space="preserve"> </w:t>
      </w:r>
      <w:r w:rsidRPr="00760647">
        <w:rPr>
          <w:rFonts w:cs="Arial"/>
        </w:rPr>
        <w:t>mg/kg bw</w:t>
      </w:r>
      <w:r w:rsidR="00474B70" w:rsidRPr="00760647">
        <w:rPr>
          <w:rFonts w:cs="Arial"/>
        </w:rPr>
        <w:t>/</w:t>
      </w:r>
      <w:r w:rsidRPr="00760647">
        <w:rPr>
          <w:rFonts w:cs="Arial"/>
        </w:rPr>
        <w:t>day (</w:t>
      </w:r>
      <w:r w:rsidR="00760647" w:rsidRPr="00760647">
        <w:rPr>
          <w:rFonts w:cs="Arial"/>
        </w:rPr>
        <w:t>95</w:t>
      </w:r>
      <w:r w:rsidR="00724574" w:rsidRPr="00760647">
        <w:rPr>
          <w:rFonts w:cs="Arial"/>
        </w:rPr>
        <w:t>-1</w:t>
      </w:r>
      <w:r w:rsidR="00760647" w:rsidRPr="00760647">
        <w:rPr>
          <w:rFonts w:cs="Arial"/>
        </w:rPr>
        <w:t>6</w:t>
      </w:r>
      <w:r w:rsidR="00724574" w:rsidRPr="00760647">
        <w:rPr>
          <w:rFonts w:cs="Arial"/>
        </w:rPr>
        <w:t xml:space="preserve">0% </w:t>
      </w:r>
      <w:r w:rsidRPr="00760647">
        <w:rPr>
          <w:rFonts w:cs="Arial"/>
        </w:rPr>
        <w:t>of the ADI)</w:t>
      </w:r>
      <w:r w:rsidR="004F2724" w:rsidRPr="00760647">
        <w:rPr>
          <w:rFonts w:cs="Arial"/>
        </w:rPr>
        <w:t>,</w:t>
      </w:r>
      <w:r>
        <w:rPr>
          <w:rFonts w:cs="Arial"/>
        </w:rPr>
        <w:t xml:space="preserve"> </w:t>
      </w:r>
      <w:r w:rsidR="00724574">
        <w:rPr>
          <w:rFonts w:cs="Arial"/>
        </w:rPr>
        <w:t>respectively</w:t>
      </w:r>
      <w:r w:rsidR="002D47F8">
        <w:rPr>
          <w:rFonts w:cs="Arial"/>
        </w:rPr>
        <w:t xml:space="preserve"> </w:t>
      </w:r>
      <w:r w:rsidR="006C6D48">
        <w:rPr>
          <w:rFonts w:cs="Arial"/>
        </w:rPr>
        <w:t>(full results in Appendix 2, Table 2.1)</w:t>
      </w:r>
      <w:r w:rsidR="00724574">
        <w:rPr>
          <w:rFonts w:cs="Arial"/>
        </w:rPr>
        <w:t xml:space="preserve">. </w:t>
      </w:r>
      <w:r w:rsidR="006C6D48">
        <w:rPr>
          <w:rFonts w:cs="Arial"/>
        </w:rPr>
        <w:t xml:space="preserve">As discussed above, the initial </w:t>
      </w:r>
      <w:r w:rsidR="002D47F8" w:rsidRPr="00760647">
        <w:rPr>
          <w:rFonts w:cs="Arial"/>
          <w:i/>
        </w:rPr>
        <w:t>B</w:t>
      </w:r>
      <w:r w:rsidR="006C6D48" w:rsidRPr="00760647">
        <w:rPr>
          <w:rFonts w:cs="Arial"/>
          <w:i/>
        </w:rPr>
        <w:t>aseline</w:t>
      </w:r>
      <w:r w:rsidR="006C6D48">
        <w:rPr>
          <w:rFonts w:cs="Arial"/>
        </w:rPr>
        <w:t xml:space="preserve"> based on MPLs exceeded the ADI, </w:t>
      </w:r>
      <w:r w:rsidR="00760647">
        <w:rPr>
          <w:rFonts w:cs="Arial"/>
        </w:rPr>
        <w:t xml:space="preserve">and </w:t>
      </w:r>
      <w:r w:rsidR="006C6D48">
        <w:rPr>
          <w:rFonts w:cs="Arial"/>
        </w:rPr>
        <w:t xml:space="preserve">a refined dietary exposure assessment was undertaken, </w:t>
      </w:r>
      <w:r w:rsidR="00760647">
        <w:rPr>
          <w:rFonts w:cs="Arial"/>
        </w:rPr>
        <w:t>therefore</w:t>
      </w:r>
      <w:r w:rsidR="006C6D48">
        <w:rPr>
          <w:rFonts w:cs="Arial"/>
        </w:rPr>
        <w:t xml:space="preserve"> this </w:t>
      </w:r>
      <w:r w:rsidR="00322BA9" w:rsidRPr="00760647">
        <w:rPr>
          <w:rFonts w:cs="Arial"/>
          <w:i/>
        </w:rPr>
        <w:t>Baseline</w:t>
      </w:r>
      <w:r w:rsidR="00322BA9">
        <w:rPr>
          <w:rFonts w:cs="Arial"/>
        </w:rPr>
        <w:t xml:space="preserve"> </w:t>
      </w:r>
      <w:r w:rsidR="006C6D48">
        <w:rPr>
          <w:rFonts w:cs="Arial"/>
        </w:rPr>
        <w:t>scenario will not be discussed further in this report.</w:t>
      </w:r>
    </w:p>
    <w:p w14:paraId="5F6CF582" w14:textId="77777777" w:rsidR="00724574" w:rsidRDefault="00724574" w:rsidP="00724574">
      <w:pPr>
        <w:rPr>
          <w:rFonts w:cs="Arial"/>
        </w:rPr>
      </w:pPr>
    </w:p>
    <w:p w14:paraId="72136DD1" w14:textId="38A5E97B" w:rsidR="00724574" w:rsidRDefault="00724574" w:rsidP="00724574">
      <w:pPr>
        <w:rPr>
          <w:rFonts w:cs="Arial"/>
        </w:rPr>
      </w:pPr>
      <w:r>
        <w:rPr>
          <w:rFonts w:cs="Arial"/>
        </w:rPr>
        <w:t xml:space="preserve">For the </w:t>
      </w:r>
      <w:r w:rsidRPr="0013468F">
        <w:rPr>
          <w:rFonts w:cs="Arial"/>
          <w:i/>
        </w:rPr>
        <w:t>Refined</w:t>
      </w:r>
      <w:r>
        <w:rPr>
          <w:rFonts w:cs="Arial"/>
        </w:rPr>
        <w:t xml:space="preserve"> scenario (i.e. refined dietary exposure assessment using industry use and market share data)</w:t>
      </w:r>
      <w:r w:rsidR="006C6D48">
        <w:rPr>
          <w:rFonts w:cs="Arial"/>
        </w:rPr>
        <w:t>,</w:t>
      </w:r>
      <w:r>
        <w:rPr>
          <w:rFonts w:cs="Arial"/>
        </w:rPr>
        <w:t xml:space="preserve"> the</w:t>
      </w:r>
      <w:r w:rsidR="00440864">
        <w:rPr>
          <w:rFonts w:cs="Arial"/>
        </w:rPr>
        <w:t xml:space="preserve"> </w:t>
      </w:r>
      <w:r w:rsidR="00440864" w:rsidRPr="002D47F8">
        <w:rPr>
          <w:rFonts w:cs="Arial"/>
          <w:i/>
        </w:rPr>
        <w:t>R</w:t>
      </w:r>
      <w:r w:rsidR="006C6D48" w:rsidRPr="002D47F8">
        <w:rPr>
          <w:rFonts w:cs="Arial"/>
          <w:i/>
        </w:rPr>
        <w:t>efined baseline</w:t>
      </w:r>
      <w:r>
        <w:rPr>
          <w:rFonts w:cs="Arial"/>
        </w:rPr>
        <w:t xml:space="preserve"> mean and 90</w:t>
      </w:r>
      <w:r w:rsidRPr="001A5BFD">
        <w:rPr>
          <w:rFonts w:cs="Arial"/>
          <w:vertAlign w:val="superscript"/>
        </w:rPr>
        <w:t>th</w:t>
      </w:r>
      <w:r>
        <w:rPr>
          <w:rFonts w:cs="Arial"/>
        </w:rPr>
        <w:t xml:space="preserve"> percentile </w:t>
      </w:r>
      <w:r w:rsidR="00BD09C4">
        <w:rPr>
          <w:rFonts w:cs="Arial"/>
        </w:rPr>
        <w:t xml:space="preserve">estimated </w:t>
      </w:r>
      <w:r>
        <w:rPr>
          <w:rFonts w:cs="Arial"/>
        </w:rPr>
        <w:t>exposure</w:t>
      </w:r>
      <w:r w:rsidR="002D47F8">
        <w:rPr>
          <w:rFonts w:cs="Arial"/>
        </w:rPr>
        <w:t>s</w:t>
      </w:r>
      <w:r>
        <w:rPr>
          <w:rFonts w:cs="Arial"/>
        </w:rPr>
        <w:t xml:space="preserve"> for </w:t>
      </w:r>
      <w:r w:rsidR="00BD09C4">
        <w:rPr>
          <w:rFonts w:cs="Arial"/>
        </w:rPr>
        <w:t xml:space="preserve">Australian and New Zealand </w:t>
      </w:r>
      <w:r>
        <w:rPr>
          <w:rFonts w:cs="Arial"/>
        </w:rPr>
        <w:t xml:space="preserve">consumers </w:t>
      </w:r>
      <w:r w:rsidR="004F2724">
        <w:rPr>
          <w:rFonts w:cs="Arial"/>
        </w:rPr>
        <w:t xml:space="preserve">ranged from </w:t>
      </w:r>
      <w:r w:rsidR="00440864">
        <w:rPr>
          <w:rFonts w:cs="Arial"/>
        </w:rPr>
        <w:t>1.4-1.8</w:t>
      </w:r>
      <w:r w:rsidR="006C6D48">
        <w:rPr>
          <w:rFonts w:cs="Arial"/>
        </w:rPr>
        <w:t xml:space="preserve"> mg/kg bw/day and </w:t>
      </w:r>
      <w:r w:rsidR="00440864">
        <w:rPr>
          <w:rFonts w:cs="Arial"/>
        </w:rPr>
        <w:t>2.2-3.5</w:t>
      </w:r>
      <w:r w:rsidR="002D47F8">
        <w:rPr>
          <w:rFonts w:cs="Arial"/>
        </w:rPr>
        <w:t> </w:t>
      </w:r>
      <w:r w:rsidR="006C6D48">
        <w:rPr>
          <w:rFonts w:cs="Arial"/>
        </w:rPr>
        <w:t>mg/kg bw/day</w:t>
      </w:r>
      <w:r w:rsidR="00440864">
        <w:rPr>
          <w:rFonts w:cs="Arial"/>
        </w:rPr>
        <w:t xml:space="preserve">, </w:t>
      </w:r>
      <w:r w:rsidR="002D47F8">
        <w:rPr>
          <w:rFonts w:cs="Arial"/>
        </w:rPr>
        <w:t xml:space="preserve">respectively. For the </w:t>
      </w:r>
      <w:r w:rsidR="002D47F8" w:rsidRPr="002D47F8">
        <w:rPr>
          <w:rFonts w:cs="Arial"/>
          <w:i/>
        </w:rPr>
        <w:t>R</w:t>
      </w:r>
      <w:r w:rsidR="006C6D48" w:rsidRPr="002D47F8">
        <w:rPr>
          <w:rFonts w:cs="Arial"/>
          <w:i/>
        </w:rPr>
        <w:t>efined extension of use</w:t>
      </w:r>
      <w:r w:rsidR="006C6D48">
        <w:rPr>
          <w:rFonts w:cs="Arial"/>
        </w:rPr>
        <w:t xml:space="preserve"> scenario the estimated dietary exposures at the mean and 90</w:t>
      </w:r>
      <w:r w:rsidR="006C6D48" w:rsidRPr="00C55E82">
        <w:rPr>
          <w:rFonts w:cs="Arial"/>
          <w:vertAlign w:val="superscript"/>
        </w:rPr>
        <w:t>th</w:t>
      </w:r>
      <w:r w:rsidR="006C6D48">
        <w:rPr>
          <w:rFonts w:cs="Arial"/>
        </w:rPr>
        <w:t xml:space="preserve"> percentile</w:t>
      </w:r>
      <w:r w:rsidR="006C6D48">
        <w:rPr>
          <w:rFonts w:cs="Arial"/>
        </w:rPr>
        <w:fldChar w:fldCharType="begin" w:fldLock="1"/>
      </w:r>
      <w:r w:rsidR="006C6D48">
        <w:rPr>
          <w:rFonts w:cs="Arial"/>
        </w:rPr>
        <w:instrText xml:space="preserve"> DOCPROPERTY bjHeaderBothDocProperty \* MERGEFORMAT </w:instrText>
      </w:r>
      <w:r w:rsidR="006C6D48">
        <w:rPr>
          <w:rFonts w:cs="Arial"/>
        </w:rPr>
        <w:fldChar w:fldCharType="end"/>
      </w:r>
      <w:r w:rsidR="006C6D48">
        <w:rPr>
          <w:rFonts w:cs="Arial"/>
        </w:rPr>
        <w:t xml:space="preserve"> would be </w:t>
      </w:r>
      <w:r w:rsidR="004F2724">
        <w:rPr>
          <w:rFonts w:cs="Arial"/>
        </w:rPr>
        <w:t>1.5-1.9</w:t>
      </w:r>
      <w:r w:rsidR="006C6D48">
        <w:rPr>
          <w:rFonts w:cs="Arial"/>
        </w:rPr>
        <w:t xml:space="preserve"> m</w:t>
      </w:r>
      <w:r w:rsidR="004F2724">
        <w:rPr>
          <w:rFonts w:cs="Arial"/>
        </w:rPr>
        <w:t>g/kg bw</w:t>
      </w:r>
      <w:r w:rsidR="005727F1">
        <w:rPr>
          <w:rFonts w:cs="Arial"/>
        </w:rPr>
        <w:t>/</w:t>
      </w:r>
      <w:r w:rsidR="00C51305">
        <w:rPr>
          <w:rFonts w:cs="Arial"/>
        </w:rPr>
        <w:t xml:space="preserve">day </w:t>
      </w:r>
      <w:r>
        <w:rPr>
          <w:rFonts w:cs="Arial"/>
        </w:rPr>
        <w:t xml:space="preserve">and </w:t>
      </w:r>
      <w:r w:rsidR="00B32E33">
        <w:rPr>
          <w:rFonts w:cs="Arial"/>
        </w:rPr>
        <w:t xml:space="preserve">2.3-3.8 </w:t>
      </w:r>
      <w:r w:rsidR="005727F1">
        <w:rPr>
          <w:rFonts w:cs="Arial"/>
        </w:rPr>
        <w:t>mg/k</w:t>
      </w:r>
      <w:r w:rsidR="0013468F">
        <w:rPr>
          <w:rFonts w:cs="Arial"/>
        </w:rPr>
        <w:t xml:space="preserve">g </w:t>
      </w:r>
      <w:r w:rsidR="005727F1">
        <w:rPr>
          <w:rFonts w:cs="Arial"/>
        </w:rPr>
        <w:t>bw/</w:t>
      </w:r>
      <w:r w:rsidR="00C51305">
        <w:rPr>
          <w:rFonts w:cs="Arial"/>
        </w:rPr>
        <w:t>day</w:t>
      </w:r>
      <w:r w:rsidR="004F2724">
        <w:rPr>
          <w:rFonts w:cs="Arial"/>
        </w:rPr>
        <w:t>,</w:t>
      </w:r>
      <w:r w:rsidR="00C51305">
        <w:rPr>
          <w:rFonts w:cs="Arial"/>
        </w:rPr>
        <w:t xml:space="preserve"> respectively.</w:t>
      </w:r>
      <w:r w:rsidR="00267500">
        <w:rPr>
          <w:rFonts w:cs="Arial"/>
        </w:rPr>
        <w:t xml:space="preserve"> It was estimated that </w:t>
      </w:r>
      <w:r w:rsidR="0013468F">
        <w:rPr>
          <w:rFonts w:cs="Arial"/>
        </w:rPr>
        <w:t>t</w:t>
      </w:r>
      <w:r w:rsidR="0013468F">
        <w:rPr>
          <w:lang w:eastAsia="en-AU"/>
        </w:rPr>
        <w:t>he increase in dietary exposure by permitting use of steviol glycosides in fruit drinks is 0.1 mg/kg bw/day at the mean and 0.1-0.4 mg/kg bw/day at the 90</w:t>
      </w:r>
      <w:r w:rsidR="0013468F" w:rsidRPr="001531C2">
        <w:rPr>
          <w:vertAlign w:val="superscript"/>
          <w:lang w:eastAsia="en-AU"/>
        </w:rPr>
        <w:t>th</w:t>
      </w:r>
      <w:r w:rsidR="0013468F">
        <w:rPr>
          <w:lang w:eastAsia="en-AU"/>
        </w:rPr>
        <w:t xml:space="preserve"> percentile.</w:t>
      </w:r>
    </w:p>
    <w:p w14:paraId="6E68D2D9" w14:textId="77777777" w:rsidR="00724574" w:rsidRDefault="00724574" w:rsidP="00724574">
      <w:pPr>
        <w:rPr>
          <w:rFonts w:cs="Arial"/>
        </w:rPr>
      </w:pPr>
    </w:p>
    <w:p w14:paraId="3B1E182F" w14:textId="4C6E3BFB" w:rsidR="00724574" w:rsidRDefault="00724574" w:rsidP="007D7E46">
      <w:r>
        <w:rPr>
          <w:rFonts w:cs="Arial"/>
        </w:rPr>
        <w:t xml:space="preserve">Detailed results of estimates of exposure to </w:t>
      </w:r>
      <w:r w:rsidRPr="00760647">
        <w:rPr>
          <w:rFonts w:cs="Arial"/>
        </w:rPr>
        <w:t xml:space="preserve">steviol glycosides for all </w:t>
      </w:r>
      <w:r w:rsidR="008D3E73" w:rsidRPr="00760647">
        <w:rPr>
          <w:rFonts w:cs="Arial"/>
        </w:rPr>
        <w:t xml:space="preserve">scenarios and </w:t>
      </w:r>
      <w:r w:rsidRPr="00760647">
        <w:rPr>
          <w:rFonts w:cs="Arial"/>
        </w:rPr>
        <w:t>population groups assessed can be found at Appendix 2, Table 2.1</w:t>
      </w:r>
      <w:r w:rsidR="001B343A" w:rsidRPr="00760647">
        <w:rPr>
          <w:rFonts w:cs="Arial"/>
        </w:rPr>
        <w:t>.</w:t>
      </w:r>
      <w:bookmarkStart w:id="174" w:name="_Ref521916947"/>
      <w:bookmarkEnd w:id="174"/>
    </w:p>
    <w:p w14:paraId="0C928A7C" w14:textId="12C9D6C3" w:rsidR="00724574" w:rsidRDefault="004A36C3" w:rsidP="000C7085">
      <w:pPr>
        <w:pStyle w:val="Heading3"/>
      </w:pPr>
      <w:bookmarkStart w:id="175" w:name="_Toc522719005"/>
      <w:bookmarkStart w:id="176" w:name="_Toc522712043"/>
      <w:bookmarkStart w:id="177" w:name="_Toc523830679"/>
      <w:bookmarkStart w:id="178" w:name="_Toc526337849"/>
      <w:bookmarkStart w:id="179" w:name="_Toc526343108"/>
      <w:r>
        <w:t xml:space="preserve">4.3.2 </w:t>
      </w:r>
      <w:r w:rsidR="00724574">
        <w:t>Foods where steviol glycosides are permitted that contribute to exposure</w:t>
      </w:r>
      <w:bookmarkEnd w:id="175"/>
      <w:bookmarkEnd w:id="176"/>
      <w:bookmarkEnd w:id="177"/>
      <w:bookmarkEnd w:id="178"/>
      <w:bookmarkEnd w:id="179"/>
    </w:p>
    <w:p w14:paraId="6CD76E7E" w14:textId="635A2612" w:rsidR="00724574" w:rsidRDefault="00724574" w:rsidP="00724574">
      <w:pPr>
        <w:rPr>
          <w:rFonts w:cs="Arial"/>
        </w:rPr>
      </w:pPr>
      <w:r>
        <w:rPr>
          <w:rFonts w:cs="Arial"/>
        </w:rPr>
        <w:t xml:space="preserve">The major food contributors to the </w:t>
      </w:r>
      <w:r>
        <w:t xml:space="preserve">estimated dietary exposures to steviol glycosides </w:t>
      </w:r>
      <w:r>
        <w:rPr>
          <w:rFonts w:cs="Arial"/>
        </w:rPr>
        <w:t xml:space="preserve">were calculated for each </w:t>
      </w:r>
      <w:r w:rsidR="0013468F" w:rsidRPr="0013468F">
        <w:rPr>
          <w:rFonts w:cs="Arial"/>
          <w:i/>
        </w:rPr>
        <w:t>R</w:t>
      </w:r>
      <w:r w:rsidR="006E2768" w:rsidRPr="0013468F">
        <w:rPr>
          <w:rFonts w:cs="Arial"/>
          <w:i/>
        </w:rPr>
        <w:t>efined</w:t>
      </w:r>
      <w:r w:rsidR="006E2768">
        <w:rPr>
          <w:rFonts w:cs="Arial"/>
        </w:rPr>
        <w:t xml:space="preserve"> scenario and </w:t>
      </w:r>
      <w:r>
        <w:rPr>
          <w:rFonts w:cs="Arial"/>
        </w:rPr>
        <w:t>population group assessed.</w:t>
      </w:r>
    </w:p>
    <w:p w14:paraId="4AE6FA8B" w14:textId="77777777" w:rsidR="006E2768" w:rsidRDefault="006E2768" w:rsidP="00724574">
      <w:pPr>
        <w:rPr>
          <w:rFonts w:cs="Arial"/>
        </w:rPr>
      </w:pPr>
    </w:p>
    <w:p w14:paraId="1FB6C180" w14:textId="77777777" w:rsidR="00724574" w:rsidRDefault="00724574" w:rsidP="00724574">
      <w:r>
        <w:rPr>
          <w:rFonts w:cs="Arial"/>
        </w:rPr>
        <w:t>The foods that were major contributors to the total estimate of steviol glycoside dietary exposure (</w:t>
      </w:r>
      <w:r>
        <w:t xml:space="preserve">providing </w:t>
      </w:r>
      <w:r w:rsidRPr="00423836">
        <w:t>≥5%)</w:t>
      </w:r>
      <w:r>
        <w:t xml:space="preserve"> were calculated from consumers’ mean intake from all foods included in the </w:t>
      </w:r>
      <w:r w:rsidRPr="0013468F">
        <w:rPr>
          <w:i/>
        </w:rPr>
        <w:t>Refined</w:t>
      </w:r>
      <w:r>
        <w:t xml:space="preserve"> scenario.</w:t>
      </w:r>
      <w:r w:rsidRPr="00423836">
        <w:t xml:space="preserve"> </w:t>
      </w:r>
      <w:r>
        <w:t>These results should be interpreted with caution given the weighted nature of the concentration data used for the assessment that included a varying proportion of industry use levels and MPLs across the foods included. This may skew the foods contributing to the dietary exposure and may not truly reflect the contributors in reality.</w:t>
      </w:r>
    </w:p>
    <w:p w14:paraId="00182F20" w14:textId="1757F5C3" w:rsidR="00A940E8" w:rsidRDefault="00A940E8" w:rsidP="00724574"/>
    <w:p w14:paraId="247C07EB" w14:textId="491F29BD" w:rsidR="00A940E8" w:rsidRDefault="00A940E8" w:rsidP="00724574">
      <w:r>
        <w:t xml:space="preserve">There was little difference in the percent contributions for each of the food groups to total dietary exposure between the </w:t>
      </w:r>
      <w:r w:rsidRPr="00A940E8">
        <w:rPr>
          <w:i/>
        </w:rPr>
        <w:t>Refined baseline</w:t>
      </w:r>
      <w:r>
        <w:t xml:space="preserve"> and </w:t>
      </w:r>
      <w:r w:rsidRPr="00A940E8">
        <w:rPr>
          <w:i/>
        </w:rPr>
        <w:t>Refined extension of use</w:t>
      </w:r>
      <w:r>
        <w:t xml:space="preserve"> scenarios (up to 2% only for the highest contributing foods). </w:t>
      </w:r>
      <w:r w:rsidR="00EA1803">
        <w:t>So</w:t>
      </w:r>
      <w:r>
        <w:t xml:space="preserve"> only the results for the </w:t>
      </w:r>
      <w:r w:rsidRPr="00A940E8">
        <w:rPr>
          <w:i/>
        </w:rPr>
        <w:t xml:space="preserve">Refined extension of </w:t>
      </w:r>
      <w:r w:rsidRPr="00A940E8">
        <w:rPr>
          <w:i/>
        </w:rPr>
        <w:lastRenderedPageBreak/>
        <w:t>use</w:t>
      </w:r>
      <w:r>
        <w:t xml:space="preserve"> scenario are reported here.</w:t>
      </w:r>
    </w:p>
    <w:p w14:paraId="412A0A5D" w14:textId="77777777" w:rsidR="00724574" w:rsidRDefault="00724574" w:rsidP="00724574"/>
    <w:p w14:paraId="04DC7AD7" w14:textId="77EBD726" w:rsidR="00724574" w:rsidRDefault="00724574" w:rsidP="00724574">
      <w:pPr>
        <w:rPr>
          <w:rFonts w:eastAsia="Calibri"/>
        </w:rPr>
      </w:pPr>
      <w:r>
        <w:rPr>
          <w:rFonts w:eastAsia="Calibri"/>
        </w:rPr>
        <w:t>The category ‘</w:t>
      </w:r>
      <w:r w:rsidR="00FE3A00">
        <w:rPr>
          <w:rFonts w:eastAsia="Calibri"/>
        </w:rPr>
        <w:t>t</w:t>
      </w:r>
      <w:r>
        <w:rPr>
          <w:rFonts w:eastAsia="Calibri"/>
        </w:rPr>
        <w:t>abletop sweeteners’ was the largest contributor to total steviol glycoside exposure for the Australian population 2+ years</w:t>
      </w:r>
      <w:r w:rsidR="006E2768">
        <w:rPr>
          <w:rFonts w:eastAsia="Calibri"/>
        </w:rPr>
        <w:t xml:space="preserve"> (31%)</w:t>
      </w:r>
      <w:r>
        <w:rPr>
          <w:rFonts w:eastAsia="Calibri"/>
        </w:rPr>
        <w:t xml:space="preserve">, and second largest contributor for New Zealand population 15+years </w:t>
      </w:r>
      <w:r w:rsidR="006E2768">
        <w:rPr>
          <w:rFonts w:eastAsia="Calibri"/>
        </w:rPr>
        <w:t>(</w:t>
      </w:r>
      <w:r>
        <w:rPr>
          <w:rFonts w:eastAsia="Calibri"/>
        </w:rPr>
        <w:t>18%</w:t>
      </w:r>
      <w:r w:rsidR="006E2768">
        <w:rPr>
          <w:rFonts w:eastAsia="Calibri"/>
        </w:rPr>
        <w:t>)</w:t>
      </w:r>
      <w:r>
        <w:rPr>
          <w:rFonts w:eastAsia="Calibri"/>
        </w:rPr>
        <w:t>. In the absence of</w:t>
      </w:r>
      <w:r w:rsidR="001677B0">
        <w:rPr>
          <w:rFonts w:eastAsia="Calibri"/>
        </w:rPr>
        <w:t xml:space="preserve"> more recent</w:t>
      </w:r>
      <w:r>
        <w:rPr>
          <w:rFonts w:eastAsia="Calibri"/>
        </w:rPr>
        <w:t xml:space="preserve"> industry use data </w:t>
      </w:r>
      <w:r w:rsidR="006E2768">
        <w:rPr>
          <w:rFonts w:eastAsia="Calibri"/>
        </w:rPr>
        <w:t xml:space="preserve">for steviol glycosides </w:t>
      </w:r>
      <w:r>
        <w:rPr>
          <w:rFonts w:eastAsia="Calibri"/>
        </w:rPr>
        <w:t>in this category, t</w:t>
      </w:r>
      <w:r w:rsidR="001677B0">
        <w:rPr>
          <w:rFonts w:eastAsia="Calibri"/>
        </w:rPr>
        <w:t xml:space="preserve">he assigned </w:t>
      </w:r>
      <w:r>
        <w:rPr>
          <w:rFonts w:eastAsia="Calibri"/>
        </w:rPr>
        <w:t>concentration of 400,000</w:t>
      </w:r>
      <w:r w:rsidR="006E2768">
        <w:rPr>
          <w:rFonts w:eastAsia="Calibri"/>
        </w:rPr>
        <w:t xml:space="preserve"> </w:t>
      </w:r>
      <w:r>
        <w:rPr>
          <w:rFonts w:eastAsia="Calibri"/>
        </w:rPr>
        <w:t xml:space="preserve">mg/kg </w:t>
      </w:r>
      <w:r w:rsidR="001677B0">
        <w:rPr>
          <w:rFonts w:eastAsia="Calibri"/>
        </w:rPr>
        <w:t xml:space="preserve">based on industry data from a previous steviol glycosides application </w:t>
      </w:r>
      <w:r>
        <w:rPr>
          <w:rFonts w:eastAsia="Calibri"/>
        </w:rPr>
        <w:t xml:space="preserve">for 100% </w:t>
      </w:r>
      <w:r w:rsidR="001677B0">
        <w:rPr>
          <w:rFonts w:eastAsia="Calibri"/>
        </w:rPr>
        <w:t xml:space="preserve">of the </w:t>
      </w:r>
      <w:r>
        <w:rPr>
          <w:rFonts w:eastAsia="Calibri"/>
        </w:rPr>
        <w:t>consumption</w:t>
      </w:r>
      <w:r w:rsidR="001677B0">
        <w:rPr>
          <w:rFonts w:eastAsia="Calibri"/>
        </w:rPr>
        <w:t xml:space="preserve"> in this category</w:t>
      </w:r>
      <w:r>
        <w:rPr>
          <w:rFonts w:eastAsia="Calibri"/>
        </w:rPr>
        <w:t xml:space="preserve"> was applied</w:t>
      </w:r>
      <w:r w:rsidR="001677B0">
        <w:rPr>
          <w:rFonts w:eastAsia="Calibri"/>
        </w:rPr>
        <w:t>,</w:t>
      </w:r>
      <w:r>
        <w:rPr>
          <w:rFonts w:eastAsia="Calibri"/>
        </w:rPr>
        <w:t xml:space="preserve"> and therefore likely to overestimate and skew the contributing exposure to steviol glycosides than is likely in reality. The major contributor</w:t>
      </w:r>
      <w:r w:rsidR="006E2768">
        <w:rPr>
          <w:rFonts w:eastAsia="Calibri"/>
        </w:rPr>
        <w:t>s</w:t>
      </w:r>
      <w:r>
        <w:rPr>
          <w:rFonts w:eastAsia="Calibri"/>
        </w:rPr>
        <w:t xml:space="preserve"> to steviol glycoside exposure </w:t>
      </w:r>
      <w:r w:rsidR="006E2768">
        <w:rPr>
          <w:rFonts w:eastAsia="Calibri"/>
        </w:rPr>
        <w:t>for</w:t>
      </w:r>
      <w:r>
        <w:rPr>
          <w:rFonts w:eastAsia="Calibri"/>
        </w:rPr>
        <w:t xml:space="preserve"> New Zealand </w:t>
      </w:r>
      <w:r w:rsidR="006E2768">
        <w:rPr>
          <w:rFonts w:eastAsia="Calibri"/>
        </w:rPr>
        <w:t xml:space="preserve">children </w:t>
      </w:r>
      <w:r>
        <w:rPr>
          <w:rFonts w:eastAsia="Calibri"/>
        </w:rPr>
        <w:t xml:space="preserve">5-14 years were ‘water based beverages’ at 18%, and </w:t>
      </w:r>
      <w:r w:rsidR="006E2768">
        <w:rPr>
          <w:rFonts w:eastAsia="Calibri"/>
        </w:rPr>
        <w:t xml:space="preserve">for New Zealand adults 15+ years was </w:t>
      </w:r>
      <w:r>
        <w:rPr>
          <w:rFonts w:eastAsia="Calibri"/>
        </w:rPr>
        <w:t>‘Coffee (or substitute) tea, herbal infusion &amp; similar’ at 34%. Two food categories that were major contributors across all population groups were ‘Water based beverages’ and</w:t>
      </w:r>
      <w:r w:rsidR="001677B0">
        <w:rPr>
          <w:rFonts w:eastAsia="Calibri"/>
        </w:rPr>
        <w:t xml:space="preserve"> ‘Gravy sauces and condiments’.</w:t>
      </w:r>
    </w:p>
    <w:p w14:paraId="4CFE6F43" w14:textId="77777777" w:rsidR="00D7795A" w:rsidRDefault="00D7795A" w:rsidP="00724574">
      <w:pPr>
        <w:rPr>
          <w:rFonts w:eastAsia="Calibri"/>
        </w:rPr>
      </w:pPr>
    </w:p>
    <w:p w14:paraId="1961308C" w14:textId="26100419" w:rsidR="00724574" w:rsidRPr="0008500F" w:rsidRDefault="00724574" w:rsidP="00724574">
      <w:pPr>
        <w:rPr>
          <w:lang w:eastAsia="en-AU"/>
        </w:rPr>
      </w:pPr>
      <w:r>
        <w:rPr>
          <w:rFonts w:eastAsia="Calibri"/>
        </w:rPr>
        <w:t>With the exception of water</w:t>
      </w:r>
      <w:r w:rsidR="00354A8D">
        <w:rPr>
          <w:rFonts w:eastAsia="Calibri"/>
        </w:rPr>
        <w:t>-</w:t>
      </w:r>
      <w:r>
        <w:rPr>
          <w:rFonts w:eastAsia="Calibri"/>
        </w:rPr>
        <w:t xml:space="preserve">based beverages, the percent of the </w:t>
      </w:r>
      <w:r w:rsidRPr="001B3BE8">
        <w:rPr>
          <w:rFonts w:eastAsia="Calibri"/>
        </w:rPr>
        <w:t xml:space="preserve">market share for which industry data were provided for the major contributing food categories </w:t>
      </w:r>
      <w:r w:rsidR="00322BA9">
        <w:rPr>
          <w:rFonts w:eastAsia="Calibri"/>
        </w:rPr>
        <w:t>was</w:t>
      </w:r>
      <w:r w:rsidR="00322BA9" w:rsidRPr="001B3BE8">
        <w:rPr>
          <w:rFonts w:eastAsia="Calibri"/>
        </w:rPr>
        <w:t xml:space="preserve"> </w:t>
      </w:r>
      <w:r w:rsidRPr="001B3BE8">
        <w:rPr>
          <w:rFonts w:eastAsia="Calibri"/>
        </w:rPr>
        <w:t>less than 45%</w:t>
      </w:r>
      <w:r w:rsidR="00322BA9">
        <w:rPr>
          <w:rFonts w:eastAsia="Calibri"/>
        </w:rPr>
        <w:t xml:space="preserve"> </w:t>
      </w:r>
      <w:r w:rsidRPr="001B3BE8">
        <w:rPr>
          <w:rFonts w:eastAsia="Calibri"/>
        </w:rPr>
        <w:t xml:space="preserve">of the total </w:t>
      </w:r>
      <w:r w:rsidR="005727F1" w:rsidRPr="001B3BE8">
        <w:rPr>
          <w:rFonts w:eastAsia="Calibri"/>
        </w:rPr>
        <w:t>market</w:t>
      </w:r>
      <w:r w:rsidR="005727F1">
        <w:rPr>
          <w:rFonts w:eastAsia="Calibri"/>
        </w:rPr>
        <w:t xml:space="preserve"> share</w:t>
      </w:r>
      <w:r>
        <w:rPr>
          <w:rFonts w:eastAsia="Calibri"/>
        </w:rPr>
        <w:t xml:space="preserve"> for their respective </w:t>
      </w:r>
      <w:r w:rsidR="005727F1">
        <w:rPr>
          <w:rFonts w:eastAsia="Calibri"/>
        </w:rPr>
        <w:t>category,</w:t>
      </w:r>
      <w:r w:rsidR="00CB250E">
        <w:rPr>
          <w:rFonts w:eastAsia="Calibri"/>
        </w:rPr>
        <w:t xml:space="preserve"> </w:t>
      </w:r>
      <w:r w:rsidR="00322BA9">
        <w:rPr>
          <w:rFonts w:eastAsia="Calibri"/>
        </w:rPr>
        <w:t xml:space="preserve">as noted in </w:t>
      </w:r>
      <w:r w:rsidR="00140EF0">
        <w:rPr>
          <w:rFonts w:eastAsia="Calibri"/>
        </w:rPr>
        <w:t>Table 3</w:t>
      </w:r>
      <w:r w:rsidRPr="00CB250E">
        <w:rPr>
          <w:rFonts w:eastAsia="Calibri"/>
        </w:rPr>
        <w:t>.</w:t>
      </w:r>
      <w:r w:rsidRPr="001B3BE8">
        <w:rPr>
          <w:rFonts w:eastAsia="Calibri"/>
        </w:rPr>
        <w:t xml:space="preserve"> Therefore</w:t>
      </w:r>
      <w:r w:rsidRPr="001B3BE8">
        <w:rPr>
          <w:rFonts w:cs="Arial"/>
        </w:rPr>
        <w:t xml:space="preserve">, interpreting the results of major food contributors needs to be done with caution. This is because weighted concentrations were used where </w:t>
      </w:r>
      <w:r w:rsidRPr="001B3BE8">
        <w:t>less than 100% of the market was represented by industry data and the remaining proportion assigned the MPL</w:t>
      </w:r>
      <w:r w:rsidR="00322BA9">
        <w:t>, or the MPL was used for the whole category where industry data were unavailable,</w:t>
      </w:r>
      <w:r w:rsidRPr="001B3BE8">
        <w:t xml:space="preserve"> which </w:t>
      </w:r>
      <w:r w:rsidR="00322BA9">
        <w:t>are</w:t>
      </w:r>
      <w:r w:rsidR="00322BA9" w:rsidRPr="001B3BE8">
        <w:rPr>
          <w:lang w:eastAsia="en-AU"/>
        </w:rPr>
        <w:t xml:space="preserve"> </w:t>
      </w:r>
      <w:r w:rsidRPr="001B3BE8">
        <w:rPr>
          <w:lang w:eastAsia="en-AU"/>
        </w:rPr>
        <w:t xml:space="preserve">likely to skew the proportions derived </w:t>
      </w:r>
      <w:r>
        <w:rPr>
          <w:lang w:eastAsia="en-AU"/>
        </w:rPr>
        <w:t>which</w:t>
      </w:r>
      <w:r w:rsidRPr="001B3BE8">
        <w:rPr>
          <w:lang w:eastAsia="en-AU"/>
        </w:rPr>
        <w:t xml:space="preserve"> may be different in reality.</w:t>
      </w:r>
    </w:p>
    <w:p w14:paraId="4090254E" w14:textId="77777777" w:rsidR="00724574" w:rsidRPr="001677B0" w:rsidRDefault="00724574" w:rsidP="001677B0"/>
    <w:p w14:paraId="74F3EEE2" w14:textId="19A7E482" w:rsidR="00724574" w:rsidRDefault="00724574" w:rsidP="004B4457">
      <w:pPr>
        <w:rPr>
          <w:rFonts w:eastAsia="Calibri"/>
        </w:rPr>
      </w:pPr>
      <w:r w:rsidRPr="004B4457">
        <w:t xml:space="preserve">Several other food categories were major contributors to total steviol glycoside exposure for the different population groups. </w:t>
      </w:r>
      <w:r w:rsidRPr="00A940E8">
        <w:t>The</w:t>
      </w:r>
      <w:r w:rsidR="00A57601" w:rsidRPr="00A940E8">
        <w:t xml:space="preserve"> major contributing </w:t>
      </w:r>
      <w:r w:rsidRPr="00A940E8">
        <w:t>food categories and their contribution</w:t>
      </w:r>
      <w:r w:rsidR="00A940E8">
        <w:t xml:space="preserve"> to total dietary exposure are </w:t>
      </w:r>
      <w:r w:rsidRPr="00A940E8">
        <w:t xml:space="preserve">presented in </w:t>
      </w:r>
      <w:r w:rsidR="004B4457" w:rsidRPr="00A940E8">
        <w:t>Figure 2.</w:t>
      </w:r>
      <w:r w:rsidR="00A57601" w:rsidRPr="00A940E8">
        <w:t xml:space="preserve"> </w:t>
      </w:r>
      <w:r w:rsidRPr="00A940E8">
        <w:t>Further details of the contribution</w:t>
      </w:r>
      <w:r w:rsidR="003623FB" w:rsidRPr="00A940E8">
        <w:t>s to dietary exposure</w:t>
      </w:r>
      <w:r w:rsidRPr="00A940E8">
        <w:t xml:space="preserve"> of all food categories where steviol</w:t>
      </w:r>
      <w:r w:rsidRPr="00A940E8">
        <w:rPr>
          <w:rFonts w:eastAsia="Calibri"/>
        </w:rPr>
        <w:t xml:space="preserve"> glycosides are permitted can be found in Appendix 2, Table 2.2</w:t>
      </w:r>
      <w:r w:rsidR="00A57601" w:rsidRPr="00A940E8">
        <w:rPr>
          <w:rFonts w:eastAsia="Calibri"/>
        </w:rPr>
        <w:t>.</w:t>
      </w:r>
    </w:p>
    <w:p w14:paraId="09B9ED66" w14:textId="77777777" w:rsidR="004B4457" w:rsidRDefault="004B4457" w:rsidP="004B4457">
      <w:pPr>
        <w:rPr>
          <w:rFonts w:eastAsia="Calibri"/>
        </w:rPr>
      </w:pPr>
    </w:p>
    <w:p w14:paraId="4D20543A" w14:textId="4D46779E" w:rsidR="00724574" w:rsidRDefault="00724574" w:rsidP="00724574">
      <w:pPr>
        <w:spacing w:after="120"/>
        <w:rPr>
          <w:rFonts w:eastAsia="Calibri"/>
        </w:rPr>
      </w:pPr>
      <w:r>
        <w:rPr>
          <w:rFonts w:eastAsia="Calibri"/>
        </w:rPr>
        <w:t>The estimated contribution</w:t>
      </w:r>
      <w:r w:rsidR="00A57601">
        <w:rPr>
          <w:rFonts w:eastAsia="Calibri"/>
        </w:rPr>
        <w:t xml:space="preserve"> to</w:t>
      </w:r>
      <w:r>
        <w:rPr>
          <w:rFonts w:eastAsia="Calibri"/>
        </w:rPr>
        <w:t xml:space="preserve"> </w:t>
      </w:r>
      <w:r w:rsidR="00A57601">
        <w:rPr>
          <w:rFonts w:eastAsia="Calibri"/>
        </w:rPr>
        <w:t xml:space="preserve">dietary exposure </w:t>
      </w:r>
      <w:r>
        <w:rPr>
          <w:rFonts w:eastAsia="Calibri"/>
        </w:rPr>
        <w:t xml:space="preserve">from </w:t>
      </w:r>
      <w:r w:rsidR="00CF40EF">
        <w:rPr>
          <w:rFonts w:eastAsia="Calibri"/>
        </w:rPr>
        <w:t xml:space="preserve">fruit </w:t>
      </w:r>
      <w:r>
        <w:rPr>
          <w:rFonts w:eastAsia="Calibri"/>
        </w:rPr>
        <w:t>drinks ranged from 3-7% of total exposure to steviol glycosides for all populations</w:t>
      </w:r>
      <w:r w:rsidR="003623FB">
        <w:rPr>
          <w:rFonts w:eastAsia="Calibri"/>
        </w:rPr>
        <w:t xml:space="preserve"> assessed in the </w:t>
      </w:r>
      <w:r w:rsidR="00A57601" w:rsidRPr="00A57601">
        <w:rPr>
          <w:rFonts w:eastAsia="Calibri"/>
          <w:i/>
        </w:rPr>
        <w:t>R</w:t>
      </w:r>
      <w:r w:rsidR="003623FB" w:rsidRPr="00A57601">
        <w:rPr>
          <w:rFonts w:eastAsia="Calibri"/>
          <w:i/>
        </w:rPr>
        <w:t>efined extension of use</w:t>
      </w:r>
      <w:r w:rsidR="003623FB">
        <w:rPr>
          <w:rFonts w:eastAsia="Calibri"/>
        </w:rPr>
        <w:t xml:space="preserve"> scenario</w:t>
      </w:r>
      <w:r>
        <w:rPr>
          <w:rFonts w:eastAsia="Calibri"/>
        </w:rPr>
        <w:t>.</w:t>
      </w:r>
    </w:p>
    <w:p w14:paraId="2367B979" w14:textId="7C5ED8E2" w:rsidR="00C76F61" w:rsidRPr="00596AD1" w:rsidRDefault="00C76F61" w:rsidP="00724574">
      <w:pPr>
        <w:spacing w:after="120"/>
        <w:rPr>
          <w:rFonts w:eastAsia="Calibri"/>
        </w:rPr>
      </w:pPr>
    </w:p>
    <w:p w14:paraId="6C4C2649" w14:textId="78DC9FDA" w:rsidR="00724574" w:rsidRPr="00161A98" w:rsidRDefault="00724574" w:rsidP="00724574">
      <w:pPr>
        <w:pStyle w:val="Caption"/>
        <w:jc w:val="center"/>
        <w:rPr>
          <w:noProof/>
          <w:lang w:eastAsia="en-GB"/>
        </w:rPr>
      </w:pPr>
      <w:bookmarkStart w:id="180" w:name="_Ref521916919"/>
      <w:bookmarkStart w:id="181" w:name="_Ref521916909"/>
    </w:p>
    <w:p w14:paraId="4065A9F8" w14:textId="7241938B" w:rsidR="00724574" w:rsidRPr="002959B8" w:rsidRDefault="00C76F61" w:rsidP="00861C86">
      <w:pPr>
        <w:pStyle w:val="FSFigureTitle"/>
      </w:pPr>
      <w:r>
        <w:rPr>
          <w:noProof/>
          <w:lang w:eastAsia="en-GB" w:bidi="ar-SA"/>
        </w:rPr>
        <w:lastRenderedPageBreak/>
        <w:drawing>
          <wp:inline distT="0" distB="0" distL="0" distR="0" wp14:anchorId="62E79A03" wp14:editId="1133454C">
            <wp:extent cx="6204150" cy="418104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30974" cy="4199121"/>
                    </a:xfrm>
                    <a:prstGeom prst="rect">
                      <a:avLst/>
                    </a:prstGeom>
                    <a:noFill/>
                  </pic:spPr>
                </pic:pic>
              </a:graphicData>
            </a:graphic>
          </wp:inline>
        </w:drawing>
      </w:r>
      <w:r w:rsidR="00A57601">
        <w:br/>
      </w:r>
      <w:r w:rsidR="00724574" w:rsidRPr="002959B8">
        <w:rPr>
          <w:b/>
        </w:rPr>
        <w:t xml:space="preserve">Figure </w:t>
      </w:r>
      <w:bookmarkEnd w:id="180"/>
      <w:r w:rsidR="000279AC" w:rsidRPr="002959B8">
        <w:rPr>
          <w:b/>
        </w:rPr>
        <w:t>2</w:t>
      </w:r>
      <w:r w:rsidR="00724574" w:rsidRPr="004A7DB6">
        <w:t xml:space="preserve"> </w:t>
      </w:r>
      <w:bookmarkStart w:id="182" w:name="_Ref521916927"/>
      <w:r w:rsidR="00724574" w:rsidRPr="004A7DB6">
        <w:t xml:space="preserve">Major (≥5%) contributing food categories to steviol glycoside dietary exposure for Australia and New Zealand population groups for the Refined </w:t>
      </w:r>
      <w:bookmarkEnd w:id="181"/>
      <w:bookmarkEnd w:id="182"/>
      <w:r w:rsidR="003623FB" w:rsidRPr="004A7DB6">
        <w:t xml:space="preserve">extension of use </w:t>
      </w:r>
      <w:r w:rsidR="004B4457">
        <w:t>s</w:t>
      </w:r>
      <w:r w:rsidR="00724574" w:rsidRPr="004A7DB6">
        <w:t>cenario</w:t>
      </w:r>
    </w:p>
    <w:p w14:paraId="6968A4EA" w14:textId="4005DC67" w:rsidR="004A7DB6" w:rsidRPr="004A7DB6" w:rsidRDefault="004A7DB6" w:rsidP="004A7DB6">
      <w:pPr>
        <w:rPr>
          <w:lang w:bidi="ar-SA"/>
        </w:rPr>
      </w:pPr>
    </w:p>
    <w:p w14:paraId="173654DB" w14:textId="6B317A8B" w:rsidR="00724574" w:rsidRDefault="00724574" w:rsidP="00817A18">
      <w:pPr>
        <w:pStyle w:val="Heading2"/>
      </w:pPr>
      <w:bookmarkStart w:id="183" w:name="_Toc522719006"/>
      <w:bookmarkStart w:id="184" w:name="_Toc522712044"/>
      <w:bookmarkStart w:id="185" w:name="_Toc523830680"/>
      <w:bookmarkStart w:id="186" w:name="_Toc526337850"/>
      <w:bookmarkStart w:id="187" w:name="_Toc526343109"/>
      <w:r>
        <w:t xml:space="preserve">Dietary exposure assessment </w:t>
      </w:r>
      <w:bookmarkEnd w:id="183"/>
      <w:bookmarkEnd w:id="184"/>
      <w:bookmarkEnd w:id="185"/>
      <w:r w:rsidR="00FA2483">
        <w:t>summary</w:t>
      </w:r>
      <w:bookmarkEnd w:id="186"/>
      <w:bookmarkEnd w:id="187"/>
    </w:p>
    <w:p w14:paraId="1A620D28" w14:textId="3A5A7D2E" w:rsidR="00724574" w:rsidRDefault="00724574" w:rsidP="00724574">
      <w:pPr>
        <w:rPr>
          <w:lang w:eastAsia="en-AU"/>
        </w:rPr>
      </w:pPr>
      <w:r>
        <w:rPr>
          <w:lang w:eastAsia="en-AU"/>
        </w:rPr>
        <w:t>FSANZ</w:t>
      </w:r>
      <w:r w:rsidRPr="00463FD9">
        <w:rPr>
          <w:lang w:eastAsia="en-AU"/>
        </w:rPr>
        <w:t xml:space="preserve"> determined </w:t>
      </w:r>
      <w:r w:rsidR="00760647">
        <w:rPr>
          <w:lang w:eastAsia="en-AU"/>
        </w:rPr>
        <w:t xml:space="preserve">a </w:t>
      </w:r>
      <w:r w:rsidR="00760647" w:rsidRPr="00760647">
        <w:rPr>
          <w:i/>
          <w:lang w:eastAsia="en-AU"/>
        </w:rPr>
        <w:t>R</w:t>
      </w:r>
      <w:r w:rsidRPr="00760647">
        <w:rPr>
          <w:i/>
          <w:lang w:eastAsia="en-AU"/>
        </w:rPr>
        <w:t>efined</w:t>
      </w:r>
      <w:r>
        <w:rPr>
          <w:lang w:eastAsia="en-AU"/>
        </w:rPr>
        <w:t xml:space="preserve"> estimate of dietary exposure to steviol glycoside</w:t>
      </w:r>
      <w:r w:rsidR="00322BA9">
        <w:rPr>
          <w:lang w:eastAsia="en-AU"/>
        </w:rPr>
        <w:t>s</w:t>
      </w:r>
      <w:r w:rsidRPr="00463FD9">
        <w:rPr>
          <w:lang w:eastAsia="en-AU"/>
        </w:rPr>
        <w:t xml:space="preserve"> based on </w:t>
      </w:r>
      <w:r>
        <w:rPr>
          <w:lang w:eastAsia="en-AU"/>
        </w:rPr>
        <w:t xml:space="preserve">the most </w:t>
      </w:r>
      <w:r>
        <w:t xml:space="preserve">recent Australian and New Zealand </w:t>
      </w:r>
      <w:r w:rsidR="003E4815">
        <w:t xml:space="preserve">nutrition survey </w:t>
      </w:r>
      <w:r>
        <w:t>consumption data</w:t>
      </w:r>
      <w:r>
        <w:rPr>
          <w:lang w:eastAsia="en-AU"/>
        </w:rPr>
        <w:t xml:space="preserve"> and information on reported use levels by industry. As industry data </w:t>
      </w:r>
      <w:r w:rsidR="00322BA9">
        <w:rPr>
          <w:lang w:eastAsia="en-AU"/>
        </w:rPr>
        <w:t xml:space="preserve">were </w:t>
      </w:r>
      <w:r>
        <w:rPr>
          <w:lang w:eastAsia="en-AU"/>
        </w:rPr>
        <w:t>not available for all products manufactured</w:t>
      </w:r>
      <w:r w:rsidR="003E4815">
        <w:rPr>
          <w:lang w:eastAsia="en-AU"/>
        </w:rPr>
        <w:t>,</w:t>
      </w:r>
      <w:r>
        <w:rPr>
          <w:lang w:eastAsia="en-AU"/>
        </w:rPr>
        <w:t xml:space="preserve"> nor complete information </w:t>
      </w:r>
      <w:r w:rsidR="00562504">
        <w:rPr>
          <w:lang w:eastAsia="en-AU"/>
        </w:rPr>
        <w:t xml:space="preserve">on whether </w:t>
      </w:r>
      <w:r>
        <w:rPr>
          <w:lang w:eastAsia="en-AU"/>
        </w:rPr>
        <w:t xml:space="preserve">steviol glycosides are used or not, several assumptions needed to be made to determine a concentration of steviol glycosides used in the assessment. The data gaps and assumptions made are likely to mean that the refined estimate is still an overestimation of the actual exposure to steviol glycosides. </w:t>
      </w:r>
    </w:p>
    <w:p w14:paraId="3E9F88D4" w14:textId="77777777" w:rsidR="00724574" w:rsidRPr="003E4815" w:rsidRDefault="00724574" w:rsidP="00724574">
      <w:pPr>
        <w:rPr>
          <w:lang w:eastAsia="en-AU"/>
        </w:rPr>
      </w:pPr>
    </w:p>
    <w:p w14:paraId="095109EE" w14:textId="309F74F0" w:rsidR="00724574" w:rsidRPr="00132F98" w:rsidRDefault="00724574" w:rsidP="00724574">
      <w:pPr>
        <w:keepNext/>
        <w:rPr>
          <w:lang w:eastAsia="en-AU"/>
        </w:rPr>
      </w:pPr>
      <w:r w:rsidRPr="00132F98">
        <w:rPr>
          <w:lang w:eastAsia="en-AU"/>
        </w:rPr>
        <w:t>The mean and 90</w:t>
      </w:r>
      <w:r w:rsidRPr="00132F98">
        <w:rPr>
          <w:vertAlign w:val="superscript"/>
          <w:lang w:eastAsia="en-AU"/>
        </w:rPr>
        <w:t>th</w:t>
      </w:r>
      <w:r w:rsidRPr="00132F98">
        <w:rPr>
          <w:lang w:eastAsia="en-AU"/>
        </w:rPr>
        <w:t xml:space="preserve"> percentile of </w:t>
      </w:r>
      <w:r w:rsidR="003E4815">
        <w:rPr>
          <w:lang w:eastAsia="en-AU"/>
        </w:rPr>
        <w:t xml:space="preserve">dietary </w:t>
      </w:r>
      <w:r w:rsidRPr="00132F98">
        <w:rPr>
          <w:lang w:eastAsia="en-AU"/>
        </w:rPr>
        <w:t xml:space="preserve">exposures to steviol glycosides </w:t>
      </w:r>
      <w:r w:rsidR="003E4815">
        <w:rPr>
          <w:lang w:eastAsia="en-AU"/>
        </w:rPr>
        <w:t xml:space="preserve">across the population groups assessed </w:t>
      </w:r>
      <w:r w:rsidR="00760647">
        <w:rPr>
          <w:lang w:eastAsia="en-AU"/>
        </w:rPr>
        <w:t xml:space="preserve">for the </w:t>
      </w:r>
      <w:r w:rsidR="00760647" w:rsidRPr="00760647">
        <w:rPr>
          <w:i/>
          <w:lang w:eastAsia="en-AU"/>
        </w:rPr>
        <w:t>R</w:t>
      </w:r>
      <w:r w:rsidR="0054018E" w:rsidRPr="00760647">
        <w:rPr>
          <w:i/>
          <w:lang w:eastAsia="en-AU"/>
        </w:rPr>
        <w:t>efined baseline</w:t>
      </w:r>
      <w:r w:rsidR="0054018E">
        <w:rPr>
          <w:lang w:eastAsia="en-AU"/>
        </w:rPr>
        <w:t xml:space="preserve"> </w:t>
      </w:r>
      <w:r w:rsidR="00415A30" w:rsidRPr="00132F98">
        <w:rPr>
          <w:lang w:eastAsia="en-AU"/>
        </w:rPr>
        <w:t xml:space="preserve">ranged </w:t>
      </w:r>
      <w:r w:rsidRPr="00132F98">
        <w:rPr>
          <w:lang w:eastAsia="en-AU"/>
        </w:rPr>
        <w:t xml:space="preserve">from </w:t>
      </w:r>
      <w:r w:rsidR="00440864">
        <w:rPr>
          <w:lang w:eastAsia="en-AU"/>
        </w:rPr>
        <w:t>1.4-1.8</w:t>
      </w:r>
      <w:r w:rsidR="0054018E">
        <w:rPr>
          <w:lang w:eastAsia="en-AU"/>
        </w:rPr>
        <w:t xml:space="preserve"> mg/kg bw/day and </w:t>
      </w:r>
      <w:r w:rsidR="00440864">
        <w:rPr>
          <w:lang w:eastAsia="en-AU"/>
        </w:rPr>
        <w:t>2.2-3.5</w:t>
      </w:r>
      <w:r w:rsidR="00760647">
        <w:rPr>
          <w:lang w:eastAsia="en-AU"/>
        </w:rPr>
        <w:t> </w:t>
      </w:r>
      <w:r w:rsidR="0054018E">
        <w:rPr>
          <w:lang w:eastAsia="en-AU"/>
        </w:rPr>
        <w:t>mg/kg bw/</w:t>
      </w:r>
      <w:r w:rsidR="00760647">
        <w:rPr>
          <w:lang w:eastAsia="en-AU"/>
        </w:rPr>
        <w:t>day, respectively</w:t>
      </w:r>
      <w:r w:rsidR="00415A30">
        <w:rPr>
          <w:lang w:eastAsia="en-AU"/>
        </w:rPr>
        <w:t>.</w:t>
      </w:r>
      <w:r w:rsidR="00760647">
        <w:rPr>
          <w:lang w:eastAsia="en-AU"/>
        </w:rPr>
        <w:t xml:space="preserve"> </w:t>
      </w:r>
      <w:r w:rsidR="00415A30">
        <w:rPr>
          <w:lang w:eastAsia="en-AU"/>
        </w:rPr>
        <w:t>F</w:t>
      </w:r>
      <w:r w:rsidR="00760647">
        <w:rPr>
          <w:lang w:eastAsia="en-AU"/>
        </w:rPr>
        <w:t xml:space="preserve">or the </w:t>
      </w:r>
      <w:r w:rsidR="00760647" w:rsidRPr="00760647">
        <w:rPr>
          <w:i/>
          <w:lang w:eastAsia="en-AU"/>
        </w:rPr>
        <w:t>R</w:t>
      </w:r>
      <w:r w:rsidR="0054018E" w:rsidRPr="00760647">
        <w:rPr>
          <w:i/>
          <w:lang w:eastAsia="en-AU"/>
        </w:rPr>
        <w:t>efined extension of use</w:t>
      </w:r>
      <w:r w:rsidR="0054018E">
        <w:rPr>
          <w:lang w:eastAsia="en-AU"/>
        </w:rPr>
        <w:t xml:space="preserve"> scenario</w:t>
      </w:r>
      <w:r w:rsidR="00415A30">
        <w:rPr>
          <w:lang w:eastAsia="en-AU"/>
        </w:rPr>
        <w:t>,</w:t>
      </w:r>
      <w:r w:rsidR="0054018E">
        <w:rPr>
          <w:lang w:eastAsia="en-AU"/>
        </w:rPr>
        <w:t xml:space="preserve"> exposures </w:t>
      </w:r>
      <w:r w:rsidR="00415A30">
        <w:rPr>
          <w:lang w:eastAsia="en-AU"/>
        </w:rPr>
        <w:t xml:space="preserve">were </w:t>
      </w:r>
      <w:r w:rsidRPr="00132F98">
        <w:rPr>
          <w:lang w:eastAsia="en-AU"/>
        </w:rPr>
        <w:t xml:space="preserve">1.5-1.9 mg/kg body weight/day and 2.3-3.8 mg/kg body weight/day, respectively. </w:t>
      </w:r>
    </w:p>
    <w:p w14:paraId="04F6ABEF" w14:textId="77777777" w:rsidR="00724574" w:rsidRPr="003E4815" w:rsidRDefault="00724574" w:rsidP="00724574">
      <w:pPr>
        <w:rPr>
          <w:lang w:eastAsia="en-AU"/>
        </w:rPr>
      </w:pPr>
    </w:p>
    <w:p w14:paraId="062E9358" w14:textId="405F151E" w:rsidR="00724574" w:rsidRPr="00596AD1" w:rsidRDefault="00724574" w:rsidP="00724574">
      <w:pPr>
        <w:rPr>
          <w:lang w:eastAsia="en-AU"/>
        </w:rPr>
      </w:pPr>
      <w:r w:rsidRPr="00596AD1">
        <w:rPr>
          <w:lang w:eastAsia="en-AU"/>
        </w:rPr>
        <w:t>The highest contributing food category to steviol glycoside exposure differed for each population group assessed</w:t>
      </w:r>
      <w:r w:rsidR="00354A8D">
        <w:rPr>
          <w:lang w:eastAsia="en-AU"/>
        </w:rPr>
        <w:t>. ‘Tabletop sweeteners’, ‘water-</w:t>
      </w:r>
      <w:r w:rsidRPr="00596AD1">
        <w:rPr>
          <w:lang w:eastAsia="en-AU"/>
        </w:rPr>
        <w:t>based beverages’ and ‘Coffee (or substitute) tea,</w:t>
      </w:r>
      <w:r w:rsidRPr="00596AD1">
        <w:rPr>
          <w:rFonts w:eastAsia="Calibri"/>
        </w:rPr>
        <w:t xml:space="preserve"> herbal infusion &amp; similar’</w:t>
      </w:r>
      <w:r w:rsidRPr="00596AD1">
        <w:rPr>
          <w:lang w:eastAsia="en-AU"/>
        </w:rPr>
        <w:t xml:space="preserve"> were among the highest contributors to steviol glycoside exposure. However contributors should be interpreted with caution given a weighted concentration was used in the dietary exposure assessment, and may skew the proportions derived </w:t>
      </w:r>
      <w:r w:rsidR="00415A30">
        <w:rPr>
          <w:lang w:eastAsia="en-AU"/>
        </w:rPr>
        <w:t xml:space="preserve">such that </w:t>
      </w:r>
      <w:r w:rsidRPr="00596AD1">
        <w:rPr>
          <w:lang w:eastAsia="en-AU"/>
        </w:rPr>
        <w:t xml:space="preserve">they may be different in reality. </w:t>
      </w:r>
      <w:r w:rsidR="00440864">
        <w:rPr>
          <w:lang w:eastAsia="en-AU"/>
        </w:rPr>
        <w:t>Fruit drinks</w:t>
      </w:r>
      <w:r w:rsidRPr="00596AD1">
        <w:rPr>
          <w:lang w:eastAsia="en-AU"/>
        </w:rPr>
        <w:t xml:space="preserve"> at the proposed </w:t>
      </w:r>
      <w:r w:rsidR="003E4815">
        <w:rPr>
          <w:lang w:eastAsia="en-AU"/>
        </w:rPr>
        <w:t>MPL</w:t>
      </w:r>
      <w:r w:rsidRPr="00596AD1">
        <w:rPr>
          <w:lang w:eastAsia="en-AU"/>
        </w:rPr>
        <w:t xml:space="preserve"> did not contribute substantially to the total steviol glycoside estimated </w:t>
      </w:r>
      <w:r w:rsidR="003E4815">
        <w:rPr>
          <w:lang w:eastAsia="en-AU"/>
        </w:rPr>
        <w:t xml:space="preserve">dietary </w:t>
      </w:r>
      <w:r w:rsidRPr="00596AD1">
        <w:rPr>
          <w:lang w:eastAsia="en-AU"/>
        </w:rPr>
        <w:t>exposure</w:t>
      </w:r>
      <w:r w:rsidR="00760647">
        <w:rPr>
          <w:lang w:eastAsia="en-AU"/>
        </w:rPr>
        <w:t xml:space="preserve"> (3-7%)</w:t>
      </w:r>
      <w:r w:rsidRPr="00596AD1">
        <w:rPr>
          <w:lang w:eastAsia="en-AU"/>
        </w:rPr>
        <w:t>.</w:t>
      </w:r>
    </w:p>
    <w:p w14:paraId="43D74E31" w14:textId="77777777" w:rsidR="00724574" w:rsidRPr="0008500F" w:rsidRDefault="00724574" w:rsidP="00724574">
      <w:pPr>
        <w:rPr>
          <w:lang w:eastAsia="en-AU"/>
        </w:rPr>
      </w:pPr>
    </w:p>
    <w:p w14:paraId="224BCE7D" w14:textId="77777777" w:rsidR="00946EA7" w:rsidRDefault="00946EA7" w:rsidP="00724574">
      <w:pPr>
        <w:rPr>
          <w:rFonts w:cs="Arial"/>
        </w:rPr>
      </w:pPr>
    </w:p>
    <w:p w14:paraId="35DF829F" w14:textId="4218DB7A" w:rsidR="00724574" w:rsidRPr="00132F98" w:rsidRDefault="00724574" w:rsidP="00724574">
      <w:r w:rsidRPr="0008500F">
        <w:rPr>
          <w:rFonts w:cs="Arial"/>
        </w:rPr>
        <w:t xml:space="preserve">The </w:t>
      </w:r>
      <w:r w:rsidR="00760647" w:rsidRPr="00760647">
        <w:rPr>
          <w:rFonts w:cs="Arial"/>
          <w:i/>
        </w:rPr>
        <w:t>R</w:t>
      </w:r>
      <w:r w:rsidRPr="00760647">
        <w:rPr>
          <w:rFonts w:cs="Arial"/>
          <w:i/>
        </w:rPr>
        <w:t>efined baseline</w:t>
      </w:r>
      <w:r w:rsidRPr="0008500F">
        <w:rPr>
          <w:rFonts w:cs="Arial"/>
        </w:rPr>
        <w:t xml:space="preserve"> </w:t>
      </w:r>
      <w:r w:rsidR="00760647" w:rsidRPr="0008500F">
        <w:rPr>
          <w:rFonts w:cs="Arial"/>
        </w:rPr>
        <w:t xml:space="preserve">estimated </w:t>
      </w:r>
      <w:r w:rsidRPr="0008500F">
        <w:rPr>
          <w:rFonts w:cs="Arial"/>
        </w:rPr>
        <w:t xml:space="preserve">exposures remain conservative </w:t>
      </w:r>
      <w:r w:rsidRPr="0008500F">
        <w:t>and</w:t>
      </w:r>
      <w:r>
        <w:t xml:space="preserve"> are</w:t>
      </w:r>
      <w:r w:rsidRPr="0008500F">
        <w:t xml:space="preserve"> not considered the most refined estimate of actual dietary exposures as </w:t>
      </w:r>
      <w:r w:rsidRPr="0008500F">
        <w:rPr>
          <w:rFonts w:cs="Arial"/>
        </w:rPr>
        <w:t xml:space="preserve">it would be unlikely that </w:t>
      </w:r>
      <w:r w:rsidR="003E4815">
        <w:rPr>
          <w:rFonts w:cs="Arial"/>
        </w:rPr>
        <w:t xml:space="preserve">all </w:t>
      </w:r>
      <w:r w:rsidRPr="0008500F">
        <w:rPr>
          <w:rFonts w:cs="Arial"/>
        </w:rPr>
        <w:t>foods within each permitted food category would contain steviol glycosides at maximum concentrations provided by industry or at the MPL where industry data were not provided. In addition</w:t>
      </w:r>
      <w:r w:rsidR="003E4815">
        <w:rPr>
          <w:rFonts w:cs="Arial"/>
        </w:rPr>
        <w:t>,</w:t>
      </w:r>
      <w:r w:rsidRPr="0008500F">
        <w:rPr>
          <w:rFonts w:cs="Arial"/>
        </w:rPr>
        <w:t xml:space="preserve"> it is unlikely that </w:t>
      </w:r>
      <w:r w:rsidR="00415A30">
        <w:rPr>
          <w:rFonts w:cs="Arial"/>
        </w:rPr>
        <w:t xml:space="preserve">all foods consumed </w:t>
      </w:r>
      <w:r w:rsidR="003E4815">
        <w:rPr>
          <w:rFonts w:cs="Arial"/>
        </w:rPr>
        <w:t xml:space="preserve">from permitted food categories </w:t>
      </w:r>
      <w:r w:rsidR="00415A30">
        <w:rPr>
          <w:rFonts w:cs="Arial"/>
        </w:rPr>
        <w:t xml:space="preserve">would always contain </w:t>
      </w:r>
      <w:r w:rsidRPr="0008500F">
        <w:rPr>
          <w:rFonts w:cs="Arial"/>
        </w:rPr>
        <w:t xml:space="preserve">steviol glycosides. Hence, </w:t>
      </w:r>
      <w:r w:rsidR="00415A30">
        <w:t xml:space="preserve">the exposure estimates are </w:t>
      </w:r>
      <w:r w:rsidRPr="0008500F">
        <w:t>unlikely to reflect usual dietary exposures from steviol glycoside-containing foods.</w:t>
      </w:r>
    </w:p>
    <w:p w14:paraId="53D97F45" w14:textId="77777777" w:rsidR="00B46800" w:rsidRDefault="00B46800" w:rsidP="00B46800">
      <w:pPr>
        <w:rPr>
          <w:rFonts w:eastAsiaTheme="majorEastAsia"/>
          <w:lang w:eastAsia="en-AU"/>
        </w:rPr>
      </w:pPr>
      <w:bookmarkStart w:id="188" w:name="_Toc522719007"/>
      <w:bookmarkStart w:id="189" w:name="_Toc522712045"/>
    </w:p>
    <w:p w14:paraId="5AA2D8EA" w14:textId="6514AD90" w:rsidR="00724574" w:rsidRPr="00D84E0E" w:rsidRDefault="00B46800" w:rsidP="00D84E0E">
      <w:pPr>
        <w:pStyle w:val="FSCh1Chap"/>
      </w:pPr>
      <w:bookmarkStart w:id="190" w:name="_Toc526337851"/>
      <w:bookmarkStart w:id="191" w:name="_Toc526343110"/>
      <w:bookmarkStart w:id="192" w:name="_Toc523830681"/>
      <w:r>
        <w:rPr>
          <w:rFonts w:eastAsiaTheme="majorEastAsia"/>
        </w:rPr>
        <w:t xml:space="preserve">5 </w:t>
      </w:r>
      <w:r w:rsidR="00724574" w:rsidRPr="00452C1F">
        <w:rPr>
          <w:rFonts w:eastAsiaTheme="majorEastAsia"/>
        </w:rPr>
        <w:t>Risk characterisation</w:t>
      </w:r>
      <w:r w:rsidR="00D4148C">
        <w:rPr>
          <w:rFonts w:eastAsiaTheme="majorEastAsia"/>
        </w:rPr>
        <w:t xml:space="preserve"> and </w:t>
      </w:r>
      <w:r w:rsidR="00724574" w:rsidRPr="00452C1F">
        <w:rPr>
          <w:rFonts w:eastAsiaTheme="majorEastAsia"/>
        </w:rPr>
        <w:t>conclusion</w:t>
      </w:r>
      <w:bookmarkEnd w:id="188"/>
      <w:bookmarkEnd w:id="189"/>
      <w:bookmarkEnd w:id="190"/>
      <w:bookmarkEnd w:id="191"/>
    </w:p>
    <w:bookmarkEnd w:id="192"/>
    <w:p w14:paraId="7F4CD500" w14:textId="720F0B9D" w:rsidR="001677B0" w:rsidRDefault="00724574" w:rsidP="00724574">
      <w:pPr>
        <w:rPr>
          <w:rFonts w:cs="Arial"/>
        </w:rPr>
      </w:pPr>
      <w:r>
        <w:rPr>
          <w:rFonts w:cs="Arial"/>
        </w:rPr>
        <w:t xml:space="preserve">The </w:t>
      </w:r>
      <w:r w:rsidR="00CB250E" w:rsidRPr="00943664">
        <w:rPr>
          <w:rFonts w:cs="Arial"/>
          <w:i/>
        </w:rPr>
        <w:t>Refined</w:t>
      </w:r>
      <w:r w:rsidR="00CB250E">
        <w:rPr>
          <w:rFonts w:cs="Arial"/>
        </w:rPr>
        <w:t xml:space="preserve"> </w:t>
      </w:r>
      <w:r>
        <w:rPr>
          <w:rFonts w:cs="Arial"/>
        </w:rPr>
        <w:t xml:space="preserve">estimated dietary exposures to steviol glycosides did not exceed the </w:t>
      </w:r>
      <w:r w:rsidR="009E3079">
        <w:rPr>
          <w:rFonts w:cs="Arial"/>
        </w:rPr>
        <w:t xml:space="preserve">ADI </w:t>
      </w:r>
      <w:r w:rsidR="009E3079" w:rsidRPr="00471E7E">
        <w:rPr>
          <w:rFonts w:cs="Arial"/>
        </w:rPr>
        <w:t>for</w:t>
      </w:r>
      <w:r w:rsidRPr="00471E7E">
        <w:rPr>
          <w:rFonts w:cs="Arial"/>
        </w:rPr>
        <w:t xml:space="preserve"> all the population groups assessed</w:t>
      </w:r>
      <w:r w:rsidR="00267500">
        <w:rPr>
          <w:rFonts w:cs="Arial"/>
        </w:rPr>
        <w:t xml:space="preserve"> both at baseline and if the proposed use in fruit drinks was </w:t>
      </w:r>
      <w:r w:rsidR="00267500" w:rsidRPr="00FE0206">
        <w:rPr>
          <w:rFonts w:cs="Arial"/>
        </w:rPr>
        <w:t>approved</w:t>
      </w:r>
      <w:r w:rsidR="00A57601">
        <w:rPr>
          <w:rFonts w:cs="Arial"/>
        </w:rPr>
        <w:t xml:space="preserve"> (</w:t>
      </w:r>
      <w:r w:rsidR="002959B8">
        <w:rPr>
          <w:rFonts w:cs="Arial"/>
        </w:rPr>
        <w:t xml:space="preserve">refer to </w:t>
      </w:r>
      <w:r w:rsidR="00A57601">
        <w:rPr>
          <w:rFonts w:cs="Arial"/>
        </w:rPr>
        <w:t>Figure 3)</w:t>
      </w:r>
      <w:r w:rsidR="00FE0206">
        <w:rPr>
          <w:rFonts w:cs="Arial"/>
        </w:rPr>
        <w:t>.</w:t>
      </w:r>
    </w:p>
    <w:p w14:paraId="13EAE911" w14:textId="77777777" w:rsidR="001677B0" w:rsidRDefault="001677B0" w:rsidP="00724574">
      <w:pPr>
        <w:rPr>
          <w:rFonts w:cs="Arial"/>
        </w:rPr>
      </w:pPr>
    </w:p>
    <w:p w14:paraId="576F19CD" w14:textId="0A6C8969" w:rsidR="00C226DE" w:rsidRDefault="00724574" w:rsidP="00724574">
      <w:pPr>
        <w:rPr>
          <w:lang w:eastAsia="en-AU"/>
        </w:rPr>
      </w:pPr>
      <w:r w:rsidRPr="00FE0206">
        <w:rPr>
          <w:rFonts w:cs="Arial"/>
        </w:rPr>
        <w:t xml:space="preserve">Dietary exposure </w:t>
      </w:r>
      <w:r w:rsidR="006C6D48" w:rsidRPr="00FE0206">
        <w:rPr>
          <w:rFonts w:cs="Arial"/>
        </w:rPr>
        <w:t xml:space="preserve">for the </w:t>
      </w:r>
      <w:r w:rsidR="00A57601" w:rsidRPr="00A57601">
        <w:rPr>
          <w:rFonts w:cs="Arial"/>
          <w:i/>
        </w:rPr>
        <w:t>R</w:t>
      </w:r>
      <w:r w:rsidR="006C6D48" w:rsidRPr="00A57601">
        <w:rPr>
          <w:rFonts w:cs="Arial"/>
          <w:i/>
        </w:rPr>
        <w:t>efined baseline</w:t>
      </w:r>
      <w:r w:rsidR="006C6D48" w:rsidRPr="00FE0206">
        <w:rPr>
          <w:rFonts w:cs="Arial"/>
        </w:rPr>
        <w:t xml:space="preserve"> at the mean and 90</w:t>
      </w:r>
      <w:r w:rsidR="006C6D48" w:rsidRPr="00C55E82">
        <w:rPr>
          <w:rFonts w:cs="Arial"/>
          <w:vertAlign w:val="superscript"/>
        </w:rPr>
        <w:t>th</w:t>
      </w:r>
      <w:r w:rsidR="006C6D48" w:rsidRPr="00FE0206">
        <w:rPr>
          <w:rFonts w:cs="Arial"/>
        </w:rPr>
        <w:t xml:space="preserve"> percentile ranged between </w:t>
      </w:r>
      <w:r w:rsidR="00440864" w:rsidRPr="00FE0206">
        <w:rPr>
          <w:rFonts w:cs="Arial"/>
        </w:rPr>
        <w:t>35-45</w:t>
      </w:r>
      <w:r w:rsidR="006C6D48" w:rsidRPr="00FE0206">
        <w:rPr>
          <w:rFonts w:cs="Arial"/>
        </w:rPr>
        <w:t xml:space="preserve">% </w:t>
      </w:r>
      <w:r w:rsidR="00FE0206" w:rsidRPr="00FE0206">
        <w:rPr>
          <w:rFonts w:cs="Arial"/>
        </w:rPr>
        <w:t>and 55</w:t>
      </w:r>
      <w:r w:rsidR="00440864" w:rsidRPr="00FE0206">
        <w:rPr>
          <w:rFonts w:cs="Arial"/>
        </w:rPr>
        <w:t>%–</w:t>
      </w:r>
      <w:r w:rsidR="00FE0206" w:rsidRPr="00FE0206">
        <w:rPr>
          <w:rFonts w:cs="Arial"/>
        </w:rPr>
        <w:t>90</w:t>
      </w:r>
      <w:r w:rsidR="00440864" w:rsidRPr="00FE0206">
        <w:rPr>
          <w:rFonts w:cs="Arial"/>
        </w:rPr>
        <w:t xml:space="preserve">% </w:t>
      </w:r>
      <w:r w:rsidR="00FE0206" w:rsidRPr="00FE0206">
        <w:rPr>
          <w:rFonts w:cs="Arial"/>
        </w:rPr>
        <w:t xml:space="preserve">of the ADI, </w:t>
      </w:r>
      <w:r w:rsidR="00440864" w:rsidRPr="00FE0206">
        <w:rPr>
          <w:rFonts w:cs="Arial"/>
        </w:rPr>
        <w:t>respectively</w:t>
      </w:r>
      <w:r w:rsidR="00FE0206" w:rsidRPr="00FE0206">
        <w:rPr>
          <w:rFonts w:cs="Arial"/>
        </w:rPr>
        <w:t xml:space="preserve">, </w:t>
      </w:r>
      <w:r w:rsidR="006C6D48" w:rsidRPr="00FE0206">
        <w:rPr>
          <w:rFonts w:cs="Arial"/>
        </w:rPr>
        <w:t xml:space="preserve">across the population groups assessed. For the </w:t>
      </w:r>
      <w:r w:rsidR="00FC329D" w:rsidRPr="008A08C5">
        <w:rPr>
          <w:rFonts w:cs="Arial"/>
          <w:i/>
        </w:rPr>
        <w:t>R</w:t>
      </w:r>
      <w:r w:rsidR="006C6D48" w:rsidRPr="008A08C5">
        <w:rPr>
          <w:rFonts w:cs="Arial"/>
          <w:i/>
        </w:rPr>
        <w:t>efined</w:t>
      </w:r>
      <w:r w:rsidR="006C6D48" w:rsidRPr="00861C86">
        <w:rPr>
          <w:rFonts w:cs="Arial"/>
          <w:i/>
        </w:rPr>
        <w:t xml:space="preserve"> extension of use</w:t>
      </w:r>
      <w:r w:rsidR="006C6D48" w:rsidRPr="00FE0206">
        <w:rPr>
          <w:rFonts w:cs="Arial"/>
        </w:rPr>
        <w:t xml:space="preserve"> scenario, dietary exposures </w:t>
      </w:r>
      <w:r w:rsidRPr="00FE0206">
        <w:rPr>
          <w:rFonts w:cs="Arial"/>
        </w:rPr>
        <w:t>at the mean and 90</w:t>
      </w:r>
      <w:r w:rsidRPr="00FE0206">
        <w:rPr>
          <w:rFonts w:cs="Arial"/>
          <w:vertAlign w:val="superscript"/>
        </w:rPr>
        <w:t>th</w:t>
      </w:r>
      <w:r w:rsidRPr="00FE0206">
        <w:rPr>
          <w:rFonts w:cs="Arial"/>
        </w:rPr>
        <w:t xml:space="preserve"> percentile </w:t>
      </w:r>
      <w:r w:rsidR="006C6D48" w:rsidRPr="00FE0206">
        <w:rPr>
          <w:rFonts w:cs="Arial"/>
        </w:rPr>
        <w:t xml:space="preserve">would be </w:t>
      </w:r>
      <w:r w:rsidRPr="00FE0206">
        <w:rPr>
          <w:rFonts w:cs="Arial"/>
        </w:rPr>
        <w:t xml:space="preserve">between </w:t>
      </w:r>
      <w:r w:rsidR="008A3C55" w:rsidRPr="00FE0206">
        <w:rPr>
          <w:rFonts w:cs="Arial"/>
        </w:rPr>
        <w:t>35</w:t>
      </w:r>
      <w:r w:rsidRPr="00FE0206">
        <w:rPr>
          <w:rFonts w:cs="Arial"/>
        </w:rPr>
        <w:t>%–</w:t>
      </w:r>
      <w:r w:rsidR="00D77037" w:rsidRPr="00FE0206">
        <w:rPr>
          <w:rFonts w:cs="Arial"/>
        </w:rPr>
        <w:t>45</w:t>
      </w:r>
      <w:r w:rsidRPr="00FE0206">
        <w:rPr>
          <w:rFonts w:cs="Arial"/>
        </w:rPr>
        <w:t xml:space="preserve">% and between </w:t>
      </w:r>
      <w:r w:rsidR="00136B32" w:rsidRPr="00FE0206">
        <w:rPr>
          <w:rFonts w:cs="Arial"/>
        </w:rPr>
        <w:t>6</w:t>
      </w:r>
      <w:r w:rsidR="008A3C55" w:rsidRPr="00FE0206">
        <w:rPr>
          <w:rFonts w:cs="Arial"/>
        </w:rPr>
        <w:t>0</w:t>
      </w:r>
      <w:r w:rsidRPr="00FE0206">
        <w:rPr>
          <w:rFonts w:cs="Arial"/>
        </w:rPr>
        <w:t>%–</w:t>
      </w:r>
      <w:r w:rsidR="00633832" w:rsidRPr="00FE0206">
        <w:rPr>
          <w:rFonts w:cs="Arial"/>
        </w:rPr>
        <w:t>95</w:t>
      </w:r>
      <w:r w:rsidRPr="00FE0206">
        <w:rPr>
          <w:rFonts w:cs="Arial"/>
        </w:rPr>
        <w:t>%</w:t>
      </w:r>
      <w:r w:rsidR="00FE0206" w:rsidRPr="00FE0206">
        <w:rPr>
          <w:rFonts w:cs="Arial"/>
        </w:rPr>
        <w:t xml:space="preserve"> of the ADI,</w:t>
      </w:r>
      <w:r w:rsidRPr="00FE0206">
        <w:rPr>
          <w:rFonts w:cs="Arial"/>
        </w:rPr>
        <w:t xml:space="preserve"> respectively</w:t>
      </w:r>
      <w:r w:rsidR="00FE0206" w:rsidRPr="00FE0206">
        <w:rPr>
          <w:rFonts w:cs="Arial"/>
        </w:rPr>
        <w:t>,</w:t>
      </w:r>
      <w:r w:rsidR="00805A20" w:rsidRPr="00FE0206">
        <w:rPr>
          <w:rFonts w:cs="Arial"/>
        </w:rPr>
        <w:t xml:space="preserve"> across all of the population groups assessed</w:t>
      </w:r>
      <w:r w:rsidRPr="00FE0206">
        <w:rPr>
          <w:rFonts w:cs="Arial"/>
        </w:rPr>
        <w:t xml:space="preserve">. </w:t>
      </w:r>
      <w:r w:rsidR="00C226DE" w:rsidRPr="00FE0206">
        <w:rPr>
          <w:lang w:eastAsia="en-AU"/>
        </w:rPr>
        <w:t xml:space="preserve">Estimated dietary exposures </w:t>
      </w:r>
      <w:r w:rsidR="00563C7A">
        <w:rPr>
          <w:lang w:eastAsia="en-AU"/>
        </w:rPr>
        <w:t xml:space="preserve">on average </w:t>
      </w:r>
      <w:r w:rsidR="00C226DE" w:rsidRPr="00FE0206">
        <w:rPr>
          <w:lang w:eastAsia="en-AU"/>
        </w:rPr>
        <w:t>only increase by up to 5%</w:t>
      </w:r>
      <w:r w:rsidR="00C226DE">
        <w:rPr>
          <w:lang w:eastAsia="en-AU"/>
        </w:rPr>
        <w:t xml:space="preserve"> of the ADI between the </w:t>
      </w:r>
      <w:r w:rsidR="00943664" w:rsidRPr="00943664">
        <w:rPr>
          <w:i/>
          <w:lang w:eastAsia="en-AU"/>
        </w:rPr>
        <w:t>R</w:t>
      </w:r>
      <w:r w:rsidR="00C226DE" w:rsidRPr="00943664">
        <w:rPr>
          <w:i/>
          <w:lang w:eastAsia="en-AU"/>
        </w:rPr>
        <w:t>efined baseline</w:t>
      </w:r>
      <w:r w:rsidR="00C226DE">
        <w:rPr>
          <w:lang w:eastAsia="en-AU"/>
        </w:rPr>
        <w:t xml:space="preserve"> and </w:t>
      </w:r>
      <w:r w:rsidR="00943664" w:rsidRPr="00943664">
        <w:rPr>
          <w:i/>
          <w:lang w:eastAsia="en-AU"/>
        </w:rPr>
        <w:t xml:space="preserve">Refined </w:t>
      </w:r>
      <w:r w:rsidR="00C226DE" w:rsidRPr="00943664">
        <w:rPr>
          <w:i/>
          <w:lang w:eastAsia="en-AU"/>
        </w:rPr>
        <w:t>extension of use</w:t>
      </w:r>
      <w:r w:rsidR="00C226DE">
        <w:rPr>
          <w:lang w:eastAsia="en-AU"/>
        </w:rPr>
        <w:t xml:space="preserve"> to fruit drinks</w:t>
      </w:r>
      <w:r w:rsidR="00BB77A8">
        <w:rPr>
          <w:lang w:eastAsia="en-AU"/>
        </w:rPr>
        <w:t xml:space="preserve"> scenarios</w:t>
      </w:r>
      <w:r w:rsidR="00C226DE">
        <w:rPr>
          <w:lang w:eastAsia="en-AU"/>
        </w:rPr>
        <w:t>. Therefore the impact of permitting the use of steviol glycosides in fruit drinks</w:t>
      </w:r>
      <w:r w:rsidR="00BB77A8">
        <w:rPr>
          <w:lang w:eastAsia="en-AU"/>
        </w:rPr>
        <w:t xml:space="preserve"> on the dietary exposure to steviol glycosides</w:t>
      </w:r>
      <w:r w:rsidR="00C226DE">
        <w:rPr>
          <w:lang w:eastAsia="en-AU"/>
        </w:rPr>
        <w:t xml:space="preserve"> </w:t>
      </w:r>
      <w:r w:rsidR="00BB77A8">
        <w:rPr>
          <w:lang w:eastAsia="en-AU"/>
        </w:rPr>
        <w:t>is very small.</w:t>
      </w:r>
    </w:p>
    <w:p w14:paraId="5F93AAE7" w14:textId="77777777" w:rsidR="00C226DE" w:rsidRDefault="00C226DE" w:rsidP="00724574">
      <w:pPr>
        <w:rPr>
          <w:lang w:eastAsia="en-AU"/>
        </w:rPr>
      </w:pPr>
    </w:p>
    <w:p w14:paraId="346869F7" w14:textId="460553F4" w:rsidR="00724574" w:rsidRPr="00471E7E" w:rsidRDefault="00C226DE" w:rsidP="00724574">
      <w:pPr>
        <w:rPr>
          <w:rFonts w:cs="Arial"/>
        </w:rPr>
      </w:pPr>
      <w:r>
        <w:rPr>
          <w:rFonts w:cs="Arial"/>
        </w:rPr>
        <w:t xml:space="preserve">The population with the highest exposures were 5-14 year New Zealand population. </w:t>
      </w:r>
      <w:r w:rsidR="00805A20">
        <w:rPr>
          <w:lang w:eastAsia="en-AU"/>
        </w:rPr>
        <w:t>The</w:t>
      </w:r>
      <w:r>
        <w:rPr>
          <w:lang w:eastAsia="en-AU"/>
        </w:rPr>
        <w:t>ir</w:t>
      </w:r>
      <w:r w:rsidR="00805A20">
        <w:rPr>
          <w:lang w:eastAsia="en-AU"/>
        </w:rPr>
        <w:t xml:space="preserve"> </w:t>
      </w:r>
      <w:r w:rsidR="00724574" w:rsidRPr="00471E7E">
        <w:rPr>
          <w:lang w:eastAsia="en-AU"/>
        </w:rPr>
        <w:t>estimated dietary exposure at the 90</w:t>
      </w:r>
      <w:r w:rsidR="00724574" w:rsidRPr="00471E7E">
        <w:rPr>
          <w:vertAlign w:val="superscript"/>
          <w:lang w:eastAsia="en-AU"/>
        </w:rPr>
        <w:t>th</w:t>
      </w:r>
      <w:r w:rsidR="00724574" w:rsidRPr="00471E7E">
        <w:rPr>
          <w:lang w:eastAsia="en-AU"/>
        </w:rPr>
        <w:t xml:space="preserve"> percentile </w:t>
      </w:r>
      <w:r w:rsidR="00724574" w:rsidRPr="00FE0206">
        <w:rPr>
          <w:lang w:eastAsia="en-AU"/>
        </w:rPr>
        <w:t xml:space="preserve">was </w:t>
      </w:r>
      <w:r w:rsidR="00FE0206" w:rsidRPr="00FE0206">
        <w:rPr>
          <w:lang w:eastAsia="en-AU"/>
        </w:rPr>
        <w:t>90</w:t>
      </w:r>
      <w:r w:rsidRPr="00FE0206">
        <w:rPr>
          <w:lang w:eastAsia="en-AU"/>
        </w:rPr>
        <w:t xml:space="preserve">% of the ADI for the </w:t>
      </w:r>
      <w:r w:rsidR="00943664" w:rsidRPr="00943664">
        <w:rPr>
          <w:i/>
          <w:lang w:eastAsia="en-AU"/>
        </w:rPr>
        <w:t>R</w:t>
      </w:r>
      <w:r w:rsidRPr="00943664">
        <w:rPr>
          <w:i/>
          <w:lang w:eastAsia="en-AU"/>
        </w:rPr>
        <w:t>efined baseline</w:t>
      </w:r>
      <w:r w:rsidRPr="00FE0206">
        <w:rPr>
          <w:lang w:eastAsia="en-AU"/>
        </w:rPr>
        <w:t xml:space="preserve"> and </w:t>
      </w:r>
      <w:r w:rsidR="00633832" w:rsidRPr="00FE0206">
        <w:rPr>
          <w:lang w:eastAsia="en-AU"/>
        </w:rPr>
        <w:t>95</w:t>
      </w:r>
      <w:r w:rsidR="00724574" w:rsidRPr="00FE0206">
        <w:rPr>
          <w:lang w:eastAsia="en-AU"/>
        </w:rPr>
        <w:t>% of the ADI</w:t>
      </w:r>
      <w:r w:rsidRPr="00FE0206">
        <w:rPr>
          <w:lang w:eastAsia="en-AU"/>
        </w:rPr>
        <w:t xml:space="preserve"> for the </w:t>
      </w:r>
      <w:r w:rsidR="00943664" w:rsidRPr="00943664">
        <w:rPr>
          <w:i/>
          <w:lang w:eastAsia="en-AU"/>
        </w:rPr>
        <w:t>R</w:t>
      </w:r>
      <w:r w:rsidRPr="00943664">
        <w:rPr>
          <w:i/>
          <w:lang w:eastAsia="en-AU"/>
        </w:rPr>
        <w:t>efined extension of use</w:t>
      </w:r>
      <w:r w:rsidRPr="00FE0206">
        <w:rPr>
          <w:lang w:eastAsia="en-AU"/>
        </w:rPr>
        <w:t xml:space="preserve"> scenario</w:t>
      </w:r>
      <w:r>
        <w:rPr>
          <w:lang w:eastAsia="en-AU"/>
        </w:rPr>
        <w:t>.</w:t>
      </w:r>
      <w:r w:rsidR="00724574">
        <w:rPr>
          <w:lang w:eastAsia="en-AU"/>
        </w:rPr>
        <w:t xml:space="preserve"> </w:t>
      </w:r>
      <w:r w:rsidR="00F60B8E">
        <w:rPr>
          <w:lang w:eastAsia="en-AU"/>
        </w:rPr>
        <w:t>H</w:t>
      </w:r>
      <w:r w:rsidR="00724574">
        <w:rPr>
          <w:lang w:eastAsia="en-AU"/>
        </w:rPr>
        <w:t>owever as discussed above given the concentration data used and only one day of consumption data, the estimate is conservati</w:t>
      </w:r>
      <w:r w:rsidR="003E4815">
        <w:rPr>
          <w:lang w:eastAsia="en-AU"/>
        </w:rPr>
        <w:t>ve</w:t>
      </w:r>
      <w:r w:rsidR="00724574">
        <w:rPr>
          <w:lang w:eastAsia="en-AU"/>
        </w:rPr>
        <w:t xml:space="preserve"> and exposure </w:t>
      </w:r>
      <w:r w:rsidR="00CF40EF">
        <w:rPr>
          <w:lang w:eastAsia="en-AU"/>
        </w:rPr>
        <w:t xml:space="preserve">in </w:t>
      </w:r>
      <w:r w:rsidR="003E4815">
        <w:rPr>
          <w:lang w:eastAsia="en-AU"/>
        </w:rPr>
        <w:t xml:space="preserve">all population groups assessed </w:t>
      </w:r>
      <w:r w:rsidR="00724574">
        <w:rPr>
          <w:lang w:eastAsia="en-AU"/>
        </w:rPr>
        <w:t>would likely be lower in reality.</w:t>
      </w:r>
    </w:p>
    <w:p w14:paraId="24B60438" w14:textId="72F18D28" w:rsidR="00724574" w:rsidRDefault="00724574" w:rsidP="00724574">
      <w:pPr>
        <w:rPr>
          <w:rFonts w:eastAsiaTheme="minorHAnsi" w:cstheme="minorBidi"/>
          <w:szCs w:val="22"/>
          <w:lang w:eastAsia="en-AU" w:bidi="ar-SA"/>
        </w:rPr>
      </w:pPr>
    </w:p>
    <w:p w14:paraId="37C13530" w14:textId="4E02D330" w:rsidR="00D4148C" w:rsidRDefault="000E0A06" w:rsidP="00724574">
      <w:pPr>
        <w:rPr>
          <w:rFonts w:eastAsiaTheme="minorHAnsi" w:cstheme="minorBidi"/>
          <w:szCs w:val="22"/>
          <w:lang w:eastAsia="en-AU" w:bidi="ar-SA"/>
        </w:rPr>
      </w:pPr>
      <w:r>
        <w:rPr>
          <w:rFonts w:eastAsiaTheme="minorHAnsi" w:cstheme="minorBidi"/>
          <w:szCs w:val="22"/>
          <w:lang w:eastAsia="en-AU" w:bidi="ar-SA"/>
        </w:rPr>
        <w:t>A brand loyal</w:t>
      </w:r>
      <w:r w:rsidR="00946EA7">
        <w:rPr>
          <w:rFonts w:eastAsiaTheme="minorHAnsi" w:cstheme="minorBidi"/>
          <w:szCs w:val="22"/>
          <w:lang w:eastAsia="en-AU" w:bidi="ar-SA"/>
        </w:rPr>
        <w:t>ty</w:t>
      </w:r>
      <w:r>
        <w:rPr>
          <w:rFonts w:eastAsiaTheme="minorHAnsi" w:cstheme="minorBidi"/>
          <w:szCs w:val="22"/>
          <w:lang w:eastAsia="en-AU" w:bidi="ar-SA"/>
        </w:rPr>
        <w:t xml:space="preserve"> assessment was </w:t>
      </w:r>
      <w:r w:rsidR="00305EAC">
        <w:rPr>
          <w:rFonts w:eastAsiaTheme="minorHAnsi" w:cstheme="minorBidi"/>
          <w:szCs w:val="22"/>
          <w:lang w:eastAsia="en-AU" w:bidi="ar-SA"/>
        </w:rPr>
        <w:t>undertaken</w:t>
      </w:r>
      <w:r>
        <w:rPr>
          <w:rFonts w:eastAsiaTheme="minorHAnsi" w:cstheme="minorBidi"/>
          <w:szCs w:val="22"/>
          <w:lang w:eastAsia="en-AU" w:bidi="ar-SA"/>
        </w:rPr>
        <w:t xml:space="preserve"> for </w:t>
      </w:r>
      <w:r w:rsidR="00305EAC">
        <w:rPr>
          <w:rFonts w:eastAsiaTheme="minorHAnsi" w:cstheme="minorBidi"/>
          <w:szCs w:val="22"/>
          <w:lang w:eastAsia="en-AU" w:bidi="ar-SA"/>
        </w:rPr>
        <w:t>water based beverages as they contributed to dietary exposure to steviol glycosides</w:t>
      </w:r>
      <w:r w:rsidR="008B07C9">
        <w:rPr>
          <w:rFonts w:eastAsiaTheme="minorHAnsi" w:cstheme="minorBidi"/>
          <w:szCs w:val="22"/>
          <w:lang w:eastAsia="en-AU" w:bidi="ar-SA"/>
        </w:rPr>
        <w:t>.</w:t>
      </w:r>
      <w:r w:rsidR="00305EAC">
        <w:rPr>
          <w:rFonts w:eastAsiaTheme="minorHAnsi" w:cstheme="minorBidi"/>
          <w:szCs w:val="22"/>
          <w:lang w:eastAsia="en-AU" w:bidi="ar-SA"/>
        </w:rPr>
        <w:t xml:space="preserve"> </w:t>
      </w:r>
      <w:r w:rsidR="008B07C9">
        <w:rPr>
          <w:rFonts w:eastAsiaTheme="minorHAnsi" w:cstheme="minorBidi"/>
          <w:szCs w:val="22"/>
          <w:lang w:eastAsia="en-AU" w:bidi="ar-SA"/>
        </w:rPr>
        <w:t>T</w:t>
      </w:r>
      <w:r w:rsidR="00305EAC">
        <w:rPr>
          <w:rFonts w:eastAsiaTheme="minorHAnsi" w:cstheme="minorBidi"/>
          <w:szCs w:val="22"/>
          <w:lang w:eastAsia="en-AU" w:bidi="ar-SA"/>
        </w:rPr>
        <w:t xml:space="preserve">hey can </w:t>
      </w:r>
      <w:r w:rsidR="008B07C9">
        <w:rPr>
          <w:rFonts w:eastAsiaTheme="minorHAnsi" w:cstheme="minorBidi"/>
          <w:szCs w:val="22"/>
          <w:lang w:eastAsia="en-AU" w:bidi="ar-SA"/>
        </w:rPr>
        <w:t xml:space="preserve">therefore </w:t>
      </w:r>
      <w:r w:rsidR="00305EAC">
        <w:rPr>
          <w:rFonts w:eastAsiaTheme="minorHAnsi" w:cstheme="minorBidi"/>
          <w:szCs w:val="22"/>
          <w:lang w:eastAsia="en-AU" w:bidi="ar-SA"/>
        </w:rPr>
        <w:t>be frequently consumed in large quantities</w:t>
      </w:r>
      <w:r w:rsidR="008B07C9">
        <w:rPr>
          <w:rFonts w:eastAsiaTheme="minorHAnsi" w:cstheme="minorBidi"/>
          <w:szCs w:val="22"/>
          <w:lang w:eastAsia="en-AU" w:bidi="ar-SA"/>
        </w:rPr>
        <w:t xml:space="preserve"> due</w:t>
      </w:r>
      <w:r w:rsidR="003E4815">
        <w:rPr>
          <w:rFonts w:eastAsiaTheme="minorHAnsi" w:cstheme="minorBidi"/>
          <w:szCs w:val="22"/>
          <w:lang w:eastAsia="en-AU" w:bidi="ar-SA"/>
        </w:rPr>
        <w:t xml:space="preserve"> </w:t>
      </w:r>
      <w:r w:rsidR="008B07C9">
        <w:rPr>
          <w:rFonts w:eastAsiaTheme="minorHAnsi" w:cstheme="minorBidi"/>
          <w:szCs w:val="22"/>
          <w:lang w:eastAsia="en-AU" w:bidi="ar-SA"/>
        </w:rPr>
        <w:t xml:space="preserve">to </w:t>
      </w:r>
      <w:r w:rsidR="00305EAC">
        <w:rPr>
          <w:rFonts w:eastAsiaTheme="minorHAnsi" w:cstheme="minorBidi"/>
          <w:szCs w:val="22"/>
          <w:lang w:eastAsia="en-AU" w:bidi="ar-SA"/>
        </w:rPr>
        <w:t>brand loyal</w:t>
      </w:r>
      <w:r w:rsidR="008B07C9">
        <w:rPr>
          <w:rFonts w:eastAsiaTheme="minorHAnsi" w:cstheme="minorBidi"/>
          <w:szCs w:val="22"/>
          <w:lang w:eastAsia="en-AU" w:bidi="ar-SA"/>
        </w:rPr>
        <w:t>ty</w:t>
      </w:r>
      <w:r w:rsidR="00305EAC">
        <w:rPr>
          <w:rFonts w:eastAsiaTheme="minorHAnsi" w:cstheme="minorBidi"/>
          <w:szCs w:val="22"/>
          <w:lang w:eastAsia="en-AU" w:bidi="ar-SA"/>
        </w:rPr>
        <w:t xml:space="preserve">. </w:t>
      </w:r>
      <w:r>
        <w:rPr>
          <w:rFonts w:eastAsiaTheme="minorHAnsi" w:cstheme="minorBidi"/>
          <w:szCs w:val="22"/>
          <w:lang w:eastAsia="en-AU" w:bidi="ar-SA"/>
        </w:rPr>
        <w:t xml:space="preserve">Based on the </w:t>
      </w:r>
      <w:r w:rsidR="003E4815">
        <w:rPr>
          <w:rFonts w:eastAsiaTheme="minorHAnsi" w:cstheme="minorBidi"/>
          <w:szCs w:val="22"/>
          <w:lang w:eastAsia="en-AU" w:bidi="ar-SA"/>
        </w:rPr>
        <w:t xml:space="preserve">MPL </w:t>
      </w:r>
      <w:r w:rsidR="00E66506">
        <w:rPr>
          <w:rFonts w:eastAsiaTheme="minorHAnsi" w:cstheme="minorBidi"/>
          <w:szCs w:val="22"/>
          <w:lang w:eastAsia="en-AU" w:bidi="ar-SA"/>
        </w:rPr>
        <w:t>of 200 mg/kg and assuming an average body weight of 70</w:t>
      </w:r>
      <w:r w:rsidR="00D911D1">
        <w:rPr>
          <w:rFonts w:eastAsiaTheme="minorHAnsi" w:cstheme="minorBidi"/>
          <w:szCs w:val="22"/>
          <w:lang w:eastAsia="en-AU" w:bidi="ar-SA"/>
        </w:rPr>
        <w:t xml:space="preserve"> </w:t>
      </w:r>
      <w:r w:rsidR="00E66506">
        <w:rPr>
          <w:rFonts w:eastAsiaTheme="minorHAnsi" w:cstheme="minorBidi"/>
          <w:szCs w:val="22"/>
          <w:lang w:eastAsia="en-AU" w:bidi="ar-SA"/>
        </w:rPr>
        <w:t xml:space="preserve">kg, a person </w:t>
      </w:r>
      <w:r w:rsidR="003E4815">
        <w:rPr>
          <w:rFonts w:eastAsiaTheme="minorHAnsi" w:cstheme="minorBidi"/>
          <w:szCs w:val="22"/>
          <w:lang w:eastAsia="en-AU" w:bidi="ar-SA"/>
        </w:rPr>
        <w:t>would need to consume 14</w:t>
      </w:r>
      <w:r w:rsidR="008E7BE8">
        <w:rPr>
          <w:rFonts w:eastAsiaTheme="minorHAnsi" w:cstheme="minorBidi"/>
          <w:szCs w:val="22"/>
          <w:lang w:eastAsia="en-AU" w:bidi="ar-SA"/>
        </w:rPr>
        <w:t>00</w:t>
      </w:r>
      <w:r w:rsidR="003E4815">
        <w:rPr>
          <w:rFonts w:eastAsiaTheme="minorHAnsi" w:cstheme="minorBidi"/>
          <w:szCs w:val="22"/>
          <w:lang w:eastAsia="en-AU" w:bidi="ar-SA"/>
        </w:rPr>
        <w:t xml:space="preserve"> </w:t>
      </w:r>
      <w:r w:rsidR="00E66506">
        <w:rPr>
          <w:rFonts w:eastAsiaTheme="minorHAnsi" w:cstheme="minorBidi"/>
          <w:szCs w:val="22"/>
          <w:lang w:eastAsia="en-AU" w:bidi="ar-SA"/>
        </w:rPr>
        <w:t>g</w:t>
      </w:r>
      <w:r w:rsidR="003E4815">
        <w:rPr>
          <w:rFonts w:eastAsiaTheme="minorHAnsi" w:cstheme="minorBidi"/>
          <w:szCs w:val="22"/>
          <w:lang w:eastAsia="en-AU" w:bidi="ar-SA"/>
        </w:rPr>
        <w:t xml:space="preserve">/day </w:t>
      </w:r>
      <w:r w:rsidR="00305EAC">
        <w:rPr>
          <w:rFonts w:eastAsiaTheme="minorHAnsi" w:cstheme="minorBidi"/>
          <w:szCs w:val="22"/>
          <w:lang w:eastAsia="en-AU" w:bidi="ar-SA"/>
        </w:rPr>
        <w:t xml:space="preserve">of water based beverages </w:t>
      </w:r>
      <w:r w:rsidR="003E4815">
        <w:rPr>
          <w:rFonts w:eastAsiaTheme="minorHAnsi" w:cstheme="minorBidi"/>
          <w:szCs w:val="22"/>
          <w:lang w:eastAsia="en-AU" w:bidi="ar-SA"/>
        </w:rPr>
        <w:t xml:space="preserve">before exceeding the ADI. The </w:t>
      </w:r>
      <w:r w:rsidR="00E66506">
        <w:rPr>
          <w:rFonts w:eastAsiaTheme="minorHAnsi" w:cstheme="minorBidi"/>
          <w:szCs w:val="22"/>
          <w:lang w:eastAsia="en-AU" w:bidi="ar-SA"/>
        </w:rPr>
        <w:t>90</w:t>
      </w:r>
      <w:r w:rsidR="00E66506" w:rsidRPr="00F87347">
        <w:rPr>
          <w:rFonts w:eastAsiaTheme="minorHAnsi" w:cstheme="minorBidi"/>
          <w:szCs w:val="22"/>
          <w:vertAlign w:val="superscript"/>
          <w:lang w:eastAsia="en-AU" w:bidi="ar-SA"/>
        </w:rPr>
        <w:t>th</w:t>
      </w:r>
      <w:r w:rsidR="00E66506">
        <w:rPr>
          <w:rFonts w:eastAsiaTheme="minorHAnsi" w:cstheme="minorBidi"/>
          <w:szCs w:val="22"/>
          <w:lang w:eastAsia="en-AU" w:bidi="ar-SA"/>
        </w:rPr>
        <w:t xml:space="preserve"> percentile consumption for a single day for Australians 2</w:t>
      </w:r>
      <w:r w:rsidR="00D911D1">
        <w:rPr>
          <w:rFonts w:eastAsiaTheme="minorHAnsi" w:cstheme="minorBidi"/>
          <w:szCs w:val="22"/>
          <w:lang w:eastAsia="en-AU" w:bidi="ar-SA"/>
        </w:rPr>
        <w:t> </w:t>
      </w:r>
      <w:r w:rsidR="00E66506">
        <w:rPr>
          <w:rFonts w:eastAsiaTheme="minorHAnsi" w:cstheme="minorBidi"/>
          <w:szCs w:val="22"/>
          <w:lang w:eastAsia="en-AU" w:bidi="ar-SA"/>
        </w:rPr>
        <w:t>years and above is 1125 g/day</w:t>
      </w:r>
      <w:r w:rsidR="008B07C9">
        <w:rPr>
          <w:rFonts w:eastAsiaTheme="minorHAnsi" w:cstheme="minorBidi"/>
          <w:szCs w:val="22"/>
          <w:lang w:eastAsia="en-AU" w:bidi="ar-SA"/>
        </w:rPr>
        <w:t xml:space="preserve">; </w:t>
      </w:r>
      <w:r w:rsidR="00E66506">
        <w:rPr>
          <w:rFonts w:eastAsiaTheme="minorHAnsi" w:cstheme="minorBidi"/>
          <w:szCs w:val="22"/>
          <w:lang w:eastAsia="en-AU" w:bidi="ar-SA"/>
        </w:rPr>
        <w:t xml:space="preserve">for New Zealand children 5-14 years </w:t>
      </w:r>
      <w:r w:rsidR="008B07C9">
        <w:rPr>
          <w:rFonts w:eastAsiaTheme="minorHAnsi" w:cstheme="minorBidi"/>
          <w:szCs w:val="22"/>
          <w:lang w:eastAsia="en-AU" w:bidi="ar-SA"/>
        </w:rPr>
        <w:t xml:space="preserve">it </w:t>
      </w:r>
      <w:r w:rsidR="00E66506">
        <w:rPr>
          <w:rFonts w:eastAsiaTheme="minorHAnsi" w:cstheme="minorBidi"/>
          <w:szCs w:val="22"/>
          <w:lang w:eastAsia="en-AU" w:bidi="ar-SA"/>
        </w:rPr>
        <w:t xml:space="preserve">is 830 g/day and </w:t>
      </w:r>
      <w:r w:rsidR="008B07C9">
        <w:rPr>
          <w:rFonts w:eastAsiaTheme="minorHAnsi" w:cstheme="minorBidi"/>
          <w:szCs w:val="22"/>
          <w:lang w:eastAsia="en-AU" w:bidi="ar-SA"/>
        </w:rPr>
        <w:t xml:space="preserve">for </w:t>
      </w:r>
      <w:r w:rsidR="00E66506">
        <w:rPr>
          <w:rFonts w:eastAsiaTheme="minorHAnsi" w:cstheme="minorBidi"/>
          <w:szCs w:val="22"/>
          <w:lang w:eastAsia="en-AU" w:bidi="ar-SA"/>
        </w:rPr>
        <w:t>New Zealand adults is</w:t>
      </w:r>
      <w:r w:rsidR="00D911D1">
        <w:rPr>
          <w:rFonts w:eastAsiaTheme="minorHAnsi" w:cstheme="minorBidi"/>
          <w:szCs w:val="22"/>
          <w:lang w:eastAsia="en-AU" w:bidi="ar-SA"/>
        </w:rPr>
        <w:t xml:space="preserve"> 1170 g/day. Therefore it is unlikely that brand loyal high consumers over a lifetime would consume enough to exceed the ADI.</w:t>
      </w:r>
    </w:p>
    <w:p w14:paraId="09FF6C79" w14:textId="77777777" w:rsidR="00D4148C" w:rsidRDefault="00D4148C" w:rsidP="00724574">
      <w:pPr>
        <w:rPr>
          <w:rFonts w:eastAsiaTheme="minorHAnsi" w:cstheme="minorBidi"/>
          <w:szCs w:val="22"/>
          <w:lang w:eastAsia="en-AU" w:bidi="ar-SA"/>
        </w:rPr>
      </w:pPr>
    </w:p>
    <w:p w14:paraId="2C979AD0" w14:textId="49EEBBAE" w:rsidR="004B2FA5" w:rsidRDefault="00724574" w:rsidP="00724574">
      <w:r>
        <w:t>Based on the dietary exposure assessment, it is anticipated that the ADI will not be exceeded by permitting the extension o</w:t>
      </w:r>
      <w:r w:rsidR="004A36C3">
        <w:t>f use of steviol glycosides to fruit d</w:t>
      </w:r>
      <w:r>
        <w:t>rinks at the MPL of 200</w:t>
      </w:r>
      <w:r w:rsidR="004B2FA5">
        <w:t xml:space="preserve"> </w:t>
      </w:r>
      <w:r>
        <w:t>mg/kg</w:t>
      </w:r>
      <w:r w:rsidR="00A57601">
        <w:t xml:space="preserve"> steviol equivalents</w:t>
      </w:r>
      <w:r>
        <w:t>.</w:t>
      </w:r>
    </w:p>
    <w:p w14:paraId="7D41492B" w14:textId="432F0DB9" w:rsidR="008F448E" w:rsidRDefault="008F448E" w:rsidP="00724574"/>
    <w:p w14:paraId="35CFB67B" w14:textId="1261DC80" w:rsidR="008F448E" w:rsidRDefault="008F448E" w:rsidP="008F448E">
      <w:r>
        <w:rPr>
          <w:lang w:bidi="ar-SA"/>
        </w:rPr>
        <w:t xml:space="preserve">There are no public health and safety concerns from the extension of use of steviol glycosides </w:t>
      </w:r>
      <w:r w:rsidR="00A469AA">
        <w:rPr>
          <w:lang w:bidi="ar-SA"/>
        </w:rPr>
        <w:t>in f</w:t>
      </w:r>
      <w:r>
        <w:rPr>
          <w:lang w:bidi="ar-SA"/>
        </w:rPr>
        <w:t xml:space="preserve">ruit </w:t>
      </w:r>
      <w:r w:rsidR="00A469AA">
        <w:rPr>
          <w:lang w:bidi="ar-SA"/>
        </w:rPr>
        <w:t>d</w:t>
      </w:r>
      <w:r>
        <w:rPr>
          <w:lang w:bidi="ar-SA"/>
        </w:rPr>
        <w:t>rinks at the proposed level.</w:t>
      </w:r>
    </w:p>
    <w:p w14:paraId="7F2E44ED" w14:textId="6FEF01DD" w:rsidR="008F448E" w:rsidRDefault="008F448E" w:rsidP="00724574"/>
    <w:p w14:paraId="3F276AC7" w14:textId="3885A7D3" w:rsidR="00B151DA" w:rsidRDefault="00B151DA" w:rsidP="00724574"/>
    <w:p w14:paraId="5F867570" w14:textId="30B83B48" w:rsidR="00F87347" w:rsidRPr="00A57601" w:rsidRDefault="00A57601" w:rsidP="002959B8">
      <w:pPr>
        <w:pStyle w:val="FSFigureTitle"/>
      </w:pPr>
      <w:bookmarkStart w:id="193" w:name="_Ref522880797"/>
      <w:r w:rsidRPr="00A57601">
        <w:rPr>
          <w:noProof/>
          <w:lang w:eastAsia="en-GB"/>
        </w:rPr>
        <w:t xml:space="preserve"> </w:t>
      </w:r>
      <w:r>
        <w:rPr>
          <w:noProof/>
          <w:lang w:eastAsia="en-GB"/>
        </w:rPr>
        <w:br/>
      </w:r>
      <w:r w:rsidR="00C76F61">
        <w:rPr>
          <w:noProof/>
          <w:lang w:eastAsia="en-GB" w:bidi="ar-SA"/>
        </w:rPr>
        <w:lastRenderedPageBreak/>
        <w:drawing>
          <wp:inline distT="0" distB="0" distL="0" distR="0" wp14:anchorId="19CFDDE7" wp14:editId="0769E978">
            <wp:extent cx="5925820" cy="3822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5820" cy="3822700"/>
                    </a:xfrm>
                    <a:prstGeom prst="rect">
                      <a:avLst/>
                    </a:prstGeom>
                    <a:noFill/>
                  </pic:spPr>
                </pic:pic>
              </a:graphicData>
            </a:graphic>
          </wp:inline>
        </w:drawing>
      </w:r>
      <w:r w:rsidR="00F87347" w:rsidRPr="002959B8">
        <w:rPr>
          <w:b/>
        </w:rPr>
        <w:t xml:space="preserve">Figure </w:t>
      </w:r>
      <w:bookmarkEnd w:id="193"/>
      <w:r w:rsidRPr="002959B8">
        <w:rPr>
          <w:b/>
        </w:rPr>
        <w:t>3</w:t>
      </w:r>
      <w:r w:rsidR="00F87347" w:rsidRPr="00A57601">
        <w:t xml:space="preserve"> Estimated consumer dietary exposures to steviol glycosides for Australian and New Zealand population groups as a percentage of the Acceptable Daily Intake</w:t>
      </w:r>
    </w:p>
    <w:p w14:paraId="58AFDF6B" w14:textId="77777777" w:rsidR="00EA403C" w:rsidRDefault="00EA403C">
      <w:pPr>
        <w:widowControl/>
        <w:rPr>
          <w:rFonts w:cs="Arial"/>
          <w:b/>
          <w:kern w:val="32"/>
          <w:sz w:val="40"/>
          <w:szCs w:val="32"/>
          <w:lang w:eastAsia="en-AU" w:bidi="ar-SA"/>
        </w:rPr>
      </w:pPr>
      <w:bookmarkStart w:id="194" w:name="_Toc522719008"/>
      <w:bookmarkStart w:id="195" w:name="_Toc522712046"/>
      <w:bookmarkStart w:id="196" w:name="_Toc523830682"/>
      <w:r>
        <w:br w:type="page"/>
      </w:r>
    </w:p>
    <w:p w14:paraId="57D4D64C" w14:textId="161FB001" w:rsidR="00963144" w:rsidRDefault="00F002E7" w:rsidP="00D84E0E">
      <w:pPr>
        <w:pStyle w:val="FSCh1Chap"/>
      </w:pPr>
      <w:bookmarkStart w:id="197" w:name="_Toc526337852"/>
      <w:bookmarkStart w:id="198" w:name="_Toc526343111"/>
      <w:r>
        <w:lastRenderedPageBreak/>
        <w:t xml:space="preserve">6 </w:t>
      </w:r>
      <w:r w:rsidR="00963144">
        <w:t>References</w:t>
      </w:r>
      <w:bookmarkEnd w:id="194"/>
      <w:bookmarkEnd w:id="195"/>
      <w:bookmarkEnd w:id="196"/>
      <w:bookmarkEnd w:id="197"/>
      <w:bookmarkEnd w:id="198"/>
    </w:p>
    <w:p w14:paraId="6D650BB8" w14:textId="77777777" w:rsidR="0020364E" w:rsidRPr="00FE3FFC" w:rsidRDefault="0020364E" w:rsidP="0020364E">
      <w:pPr>
        <w:tabs>
          <w:tab w:val="left" w:pos="0"/>
        </w:tabs>
        <w:spacing w:after="240"/>
        <w:rPr>
          <w:rFonts w:cs="Arial"/>
          <w:color w:val="000000"/>
        </w:rPr>
      </w:pPr>
      <w:r w:rsidRPr="00F41265">
        <w:rPr>
          <w:rFonts w:cs="Arial"/>
          <w:color w:val="000000"/>
        </w:rPr>
        <w:t>ABS (2014) National Nutrition and Physical Activity Survey, 2011-12, Basic CURF, CD-ROM. Findings based on ABS CURF data. Australian Bureau of Statistics, Canberra</w:t>
      </w:r>
      <w:r>
        <w:rPr>
          <w:rFonts w:cs="Arial"/>
          <w:color w:val="000000"/>
        </w:rPr>
        <w:t>.</w:t>
      </w:r>
    </w:p>
    <w:p w14:paraId="3AC770D8" w14:textId="6A3CFCF0" w:rsidR="0020364E" w:rsidRDefault="0020364E" w:rsidP="00963144">
      <w:r>
        <w:t>Anton SD</w:t>
      </w:r>
      <w:r w:rsidRPr="0020364E">
        <w:t>, Martin CK, Han H, Coulon S, Cefalu</w:t>
      </w:r>
      <w:r>
        <w:t xml:space="preserve"> WT, Geiselman P, Williamson DA (2010) </w:t>
      </w:r>
      <w:r w:rsidRPr="0020364E">
        <w:t>Effects of stevia, aspartame, and sucrose on food intake, satiety, and postprandial glucose and insulin levels.</w:t>
      </w:r>
      <w:r>
        <w:t xml:space="preserve"> Appetite 55(1):37-43. </w:t>
      </w:r>
    </w:p>
    <w:p w14:paraId="5B14A9BB" w14:textId="4F6CFDAE" w:rsidR="0020364E" w:rsidRDefault="0020364E" w:rsidP="00963144"/>
    <w:p w14:paraId="25798E83" w14:textId="6B619FB6" w:rsidR="007C5C1A" w:rsidRPr="00551BB3" w:rsidRDefault="007C5C1A" w:rsidP="007C5C1A">
      <w:pPr>
        <w:rPr>
          <w:lang w:bidi="ar-SA"/>
        </w:rPr>
      </w:pPr>
      <w:r w:rsidRPr="00551BB3">
        <w:rPr>
          <w:lang w:bidi="ar-SA"/>
        </w:rPr>
        <w:t xml:space="preserve">EFSA (2010) </w:t>
      </w:r>
      <w:hyperlink r:id="rId30" w:history="1">
        <w:r w:rsidRPr="00EA403C">
          <w:rPr>
            <w:rStyle w:val="Hyperlink"/>
            <w:lang w:bidi="ar-SA"/>
          </w:rPr>
          <w:t>Scientific Opinion on safety of steviol glycosides for the proposed uses as a food additive.</w:t>
        </w:r>
      </w:hyperlink>
      <w:r w:rsidRPr="00551BB3">
        <w:rPr>
          <w:lang w:bidi="ar-SA"/>
        </w:rPr>
        <w:t xml:space="preserve"> European Food Safety Authority. </w:t>
      </w:r>
      <w:r w:rsidR="00EA403C">
        <w:rPr>
          <w:lang w:bidi="ar-SA"/>
        </w:rPr>
        <w:t>Accessed 10 Mar</w:t>
      </w:r>
      <w:r w:rsidRPr="00551BB3">
        <w:rPr>
          <w:lang w:bidi="ar-SA"/>
        </w:rPr>
        <w:t xml:space="preserve"> 2010. </w:t>
      </w:r>
    </w:p>
    <w:p w14:paraId="2FE3D138" w14:textId="77777777" w:rsidR="007C5C1A" w:rsidRDefault="007C5C1A" w:rsidP="0084054D"/>
    <w:p w14:paraId="234CE3FD" w14:textId="648A7CD5" w:rsidR="005709C1" w:rsidRDefault="005709C1" w:rsidP="00F87347">
      <w:pPr>
        <w:pStyle w:val="FSPagenumber"/>
        <w:jc w:val="left"/>
      </w:pPr>
      <w:r w:rsidRPr="0029662D">
        <w:rPr>
          <w:sz w:val="22"/>
          <w:szCs w:val="24"/>
        </w:rPr>
        <w:t>Euromonitor International (201</w:t>
      </w:r>
      <w:r>
        <w:rPr>
          <w:sz w:val="22"/>
          <w:szCs w:val="24"/>
        </w:rPr>
        <w:t>8</w:t>
      </w:r>
      <w:r w:rsidRPr="0029662D">
        <w:rPr>
          <w:sz w:val="22"/>
          <w:szCs w:val="24"/>
        </w:rPr>
        <w:t xml:space="preserve">) Passport [online] Available at: </w:t>
      </w:r>
      <w:hyperlink r:id="rId31" w:history="1">
        <w:r w:rsidRPr="0029662D">
          <w:rPr>
            <w:sz w:val="22"/>
            <w:szCs w:val="24"/>
          </w:rPr>
          <w:t>https://www.portal.euromonitor.com/portal/magazine/homemain</w:t>
        </w:r>
      </w:hyperlink>
      <w:r w:rsidRPr="0029662D">
        <w:rPr>
          <w:sz w:val="22"/>
          <w:szCs w:val="24"/>
        </w:rPr>
        <w:t xml:space="preserve"> </w:t>
      </w:r>
    </w:p>
    <w:p w14:paraId="77323F65" w14:textId="77777777" w:rsidR="005709C1" w:rsidRDefault="005709C1" w:rsidP="00963144"/>
    <w:p w14:paraId="75E11317" w14:textId="4C3EFA1D" w:rsidR="00F861C4" w:rsidRPr="00CE259A" w:rsidRDefault="00F861C4" w:rsidP="00F861C4">
      <w:pPr>
        <w:rPr>
          <w:szCs w:val="22"/>
          <w:lang w:bidi="ar-SA"/>
        </w:rPr>
      </w:pPr>
      <w:r w:rsidRPr="00CE259A">
        <w:rPr>
          <w:szCs w:val="22"/>
          <w:lang w:bidi="ar-SA"/>
        </w:rPr>
        <w:t>FAO (20</w:t>
      </w:r>
      <w:r>
        <w:rPr>
          <w:szCs w:val="22"/>
          <w:lang w:bidi="ar-SA"/>
        </w:rPr>
        <w:t>16</w:t>
      </w:r>
      <w:r w:rsidRPr="00CE259A">
        <w:rPr>
          <w:szCs w:val="22"/>
          <w:lang w:bidi="ar-SA"/>
        </w:rPr>
        <w:t xml:space="preserve">) </w:t>
      </w:r>
      <w:hyperlink r:id="rId32" w:history="1">
        <w:r w:rsidR="005E372C" w:rsidRPr="005E372C">
          <w:rPr>
            <w:rStyle w:val="Hyperlink"/>
            <w:szCs w:val="22"/>
            <w:lang w:bidi="ar-SA"/>
          </w:rPr>
          <w:t>Steviol Glycosides,</w:t>
        </w:r>
        <w:r w:rsidR="005E372C">
          <w:rPr>
            <w:rStyle w:val="Hyperlink"/>
            <w:szCs w:val="22"/>
            <w:lang w:bidi="ar-SA"/>
          </w:rPr>
          <w:t xml:space="preserve"> </w:t>
        </w:r>
        <w:r w:rsidRPr="005E372C">
          <w:rPr>
            <w:rStyle w:val="Hyperlink"/>
            <w:szCs w:val="22"/>
            <w:lang w:bidi="ar-SA"/>
          </w:rPr>
          <w:t>Chemical and Technical Assessment revised for the 82</w:t>
        </w:r>
        <w:r w:rsidRPr="005E372C">
          <w:rPr>
            <w:rStyle w:val="Hyperlink"/>
            <w:szCs w:val="22"/>
            <w:vertAlign w:val="superscript"/>
            <w:lang w:bidi="ar-SA"/>
          </w:rPr>
          <w:t>th</w:t>
        </w:r>
        <w:r w:rsidRPr="005E372C">
          <w:rPr>
            <w:rStyle w:val="Hyperlink"/>
            <w:szCs w:val="22"/>
            <w:lang w:bidi="ar-SA"/>
          </w:rPr>
          <w:t xml:space="preserve"> Joint FAO/WHO Expert Committee of Food Additives.</w:t>
        </w:r>
      </w:hyperlink>
      <w:r w:rsidRPr="00CE259A">
        <w:rPr>
          <w:szCs w:val="22"/>
          <w:lang w:bidi="ar-SA"/>
        </w:rPr>
        <w:t xml:space="preserve"> </w:t>
      </w:r>
      <w:r w:rsidR="00EA403C">
        <w:rPr>
          <w:szCs w:val="22"/>
          <w:lang w:bidi="ar-SA"/>
        </w:rPr>
        <w:t>Accessed 23 Aug</w:t>
      </w:r>
      <w:r>
        <w:rPr>
          <w:szCs w:val="22"/>
          <w:lang w:bidi="ar-SA"/>
        </w:rPr>
        <w:t xml:space="preserve"> 2018.</w:t>
      </w:r>
    </w:p>
    <w:p w14:paraId="294425BB" w14:textId="77777777" w:rsidR="00F861C4" w:rsidRDefault="00F861C4" w:rsidP="00963144"/>
    <w:p w14:paraId="698D2F1E" w14:textId="5310F012" w:rsidR="00963144" w:rsidRDefault="00AE5426" w:rsidP="00963144">
      <w:r>
        <w:t>JECFA</w:t>
      </w:r>
      <w:r w:rsidR="00963144" w:rsidRPr="00C01C95">
        <w:t xml:space="preserve"> (2016) </w:t>
      </w:r>
      <w:hyperlink r:id="rId33" w:history="1">
        <w:r w:rsidR="0010559B" w:rsidRPr="0010559B">
          <w:rPr>
            <w:rStyle w:val="Hyperlink"/>
          </w:rPr>
          <w:t xml:space="preserve">WHO Technical Report Series. </w:t>
        </w:r>
        <w:r w:rsidR="00963144" w:rsidRPr="0010559B">
          <w:rPr>
            <w:rStyle w:val="Hyperlink"/>
          </w:rPr>
          <w:t>Evaluation of certain food additives. Eighty-second report of the Joint FAO/WHO Expert Committee on Food Additives.</w:t>
        </w:r>
      </w:hyperlink>
      <w:r w:rsidR="00963144" w:rsidRPr="00C01C95">
        <w:t xml:space="preserve"> </w:t>
      </w:r>
      <w:r w:rsidR="00963144">
        <w:t>Accessed 21 August 2018</w:t>
      </w:r>
    </w:p>
    <w:p w14:paraId="4BD6D0E8" w14:textId="36A3A815" w:rsidR="0010559B" w:rsidRDefault="0010559B" w:rsidP="00963144"/>
    <w:p w14:paraId="7BFF9ECA" w14:textId="3FFCE017" w:rsidR="0010559B" w:rsidRDefault="0010559B" w:rsidP="0010559B">
      <w:r>
        <w:t xml:space="preserve">JECFA (2017a)  </w:t>
      </w:r>
      <w:hyperlink r:id="rId34" w:history="1">
        <w:r w:rsidRPr="00681A8E">
          <w:rPr>
            <w:rStyle w:val="Hyperlink"/>
          </w:rPr>
          <w:t>WHO Technical Report Series. Evaluation of certain food additives. Eighty-fourth report of the Joint FAO/WHO Expert Committee on Food Additives.</w:t>
        </w:r>
      </w:hyperlink>
      <w:r w:rsidRPr="00C01C95">
        <w:t xml:space="preserve"> </w:t>
      </w:r>
      <w:r>
        <w:t>Accessed 17 Sep 2018</w:t>
      </w:r>
    </w:p>
    <w:p w14:paraId="3F73FCC1" w14:textId="3122CAE2" w:rsidR="0010559B" w:rsidRPr="00C01C95" w:rsidRDefault="0010559B" w:rsidP="00963144"/>
    <w:p w14:paraId="4124BE0F" w14:textId="53714EC7" w:rsidR="00F861C4" w:rsidRDefault="00AE5426" w:rsidP="00F861C4">
      <w:r>
        <w:t>JECFA</w:t>
      </w:r>
      <w:r w:rsidR="00F861C4" w:rsidRPr="00C01C95">
        <w:t xml:space="preserve"> (201</w:t>
      </w:r>
      <w:r w:rsidR="00F861C4">
        <w:t>7</w:t>
      </w:r>
      <w:r w:rsidR="0010559B">
        <w:t>b</w:t>
      </w:r>
      <w:r w:rsidR="00F861C4" w:rsidRPr="00C01C95">
        <w:t>)</w:t>
      </w:r>
      <w:hyperlink r:id="rId35" w:history="1">
        <w:r w:rsidR="00F861C4" w:rsidRPr="009A68E5">
          <w:rPr>
            <w:rStyle w:val="Hyperlink"/>
          </w:rPr>
          <w:t xml:space="preserve"> </w:t>
        </w:r>
        <w:r w:rsidR="00F861C4" w:rsidRPr="00C3746E">
          <w:rPr>
            <w:rStyle w:val="Hyperlink"/>
          </w:rPr>
          <w:t>Compendium of food additive specifications. Joint FAO/WHO Expert Committee on Food Additives. 8</w:t>
        </w:r>
        <w:r w:rsidR="00F861C4">
          <w:rPr>
            <w:rStyle w:val="Hyperlink"/>
          </w:rPr>
          <w:t>4th</w:t>
        </w:r>
        <w:r w:rsidR="00F861C4" w:rsidRPr="00C3746E">
          <w:rPr>
            <w:rStyle w:val="Hyperlink"/>
          </w:rPr>
          <w:t xml:space="preserve"> meeting 201</w:t>
        </w:r>
        <w:r w:rsidR="00F861C4">
          <w:rPr>
            <w:rStyle w:val="Hyperlink"/>
          </w:rPr>
          <w:t>7</w:t>
        </w:r>
        <w:r w:rsidR="00F861C4" w:rsidRPr="009A68E5">
          <w:rPr>
            <w:rStyle w:val="Hyperlink"/>
          </w:rPr>
          <w:t xml:space="preserve">, Monograph </w:t>
        </w:r>
        <w:r w:rsidR="00F861C4">
          <w:rPr>
            <w:rStyle w:val="Hyperlink"/>
          </w:rPr>
          <w:t>20</w:t>
        </w:r>
        <w:r w:rsidR="00F861C4" w:rsidRPr="009A68E5">
          <w:rPr>
            <w:rStyle w:val="Hyperlink"/>
          </w:rPr>
          <w:t>.</w:t>
        </w:r>
      </w:hyperlink>
      <w:r w:rsidR="00F861C4" w:rsidRPr="00C01C95">
        <w:t xml:space="preserve"> </w:t>
      </w:r>
      <w:r w:rsidR="00F861C4" w:rsidRPr="00C3746E">
        <w:t xml:space="preserve">Accessed </w:t>
      </w:r>
      <w:r w:rsidR="00F861C4">
        <w:t>21 Aug</w:t>
      </w:r>
      <w:r w:rsidR="00F861C4" w:rsidRPr="00C3746E">
        <w:t xml:space="preserve"> 18</w:t>
      </w:r>
    </w:p>
    <w:p w14:paraId="6BBFF32B" w14:textId="7BA5F41B" w:rsidR="000036C7" w:rsidRDefault="00963144" w:rsidP="00963144">
      <w:r w:rsidRPr="00C01C95">
        <w:t xml:space="preserve"> </w:t>
      </w:r>
    </w:p>
    <w:p w14:paraId="32E3A7EA" w14:textId="0EACDDE1" w:rsidR="008C5D29" w:rsidRDefault="008C5D29" w:rsidP="008C5D29">
      <w:pPr>
        <w:rPr>
          <w:rFonts w:cs="Arial"/>
        </w:rPr>
      </w:pPr>
      <w:r>
        <w:t>FAO/</w:t>
      </w:r>
      <w:r>
        <w:rPr>
          <w:rFonts w:cs="Arial"/>
        </w:rPr>
        <w:t xml:space="preserve">WHO (2009) </w:t>
      </w:r>
      <w:hyperlink r:id="rId36" w:history="1">
        <w:r w:rsidRPr="003068B6">
          <w:rPr>
            <w:rStyle w:val="Hyperlink"/>
            <w:rFonts w:cs="Arial"/>
          </w:rPr>
          <w:t>Safety evaluation of certain food additives. Joint FAO/WHO Expert Committee on Food Additives. 69</w:t>
        </w:r>
        <w:r w:rsidRPr="003068B6">
          <w:rPr>
            <w:rStyle w:val="Hyperlink"/>
            <w:rFonts w:cs="Arial"/>
            <w:vertAlign w:val="superscript"/>
          </w:rPr>
          <w:t>th</w:t>
        </w:r>
        <w:r w:rsidRPr="003068B6">
          <w:rPr>
            <w:rStyle w:val="Hyperlink"/>
            <w:rFonts w:cs="Arial"/>
          </w:rPr>
          <w:t xml:space="preserve"> meeting 2009, WHO Food Additives Series: 60.</w:t>
        </w:r>
      </w:hyperlink>
      <w:r>
        <w:rPr>
          <w:rFonts w:cs="Arial"/>
        </w:rPr>
        <w:t xml:space="preserve"> </w:t>
      </w:r>
    </w:p>
    <w:p w14:paraId="62AD7D91" w14:textId="7F7F4C16" w:rsidR="008C5D29" w:rsidRPr="005042DB" w:rsidRDefault="00BF587A" w:rsidP="008C5D29">
      <w:pPr>
        <w:rPr>
          <w:rFonts w:cs="Arial"/>
          <w:color w:val="0000FF"/>
        </w:rPr>
      </w:pPr>
      <w:hyperlink r:id="rId37" w:history="1">
        <w:r w:rsidR="003068B6" w:rsidRPr="00541440">
          <w:rPr>
            <w:rStyle w:val="Hyperlink"/>
            <w:rFonts w:cs="Arial"/>
          </w:rPr>
          <w:t>Accessed</w:t>
        </w:r>
      </w:hyperlink>
      <w:r w:rsidR="003068B6">
        <w:rPr>
          <w:rFonts w:cs="Arial"/>
        </w:rPr>
        <w:t xml:space="preserve"> 28 Aug 2018. </w:t>
      </w:r>
    </w:p>
    <w:p w14:paraId="127E9B0E" w14:textId="5B64AAC2" w:rsidR="009F1485" w:rsidRDefault="009F1485" w:rsidP="00963144"/>
    <w:p w14:paraId="5E045A30" w14:textId="587F73EC" w:rsidR="009F1485" w:rsidRDefault="009F1485" w:rsidP="009F1485">
      <w:pPr>
        <w:tabs>
          <w:tab w:val="left" w:pos="0"/>
        </w:tabs>
        <w:rPr>
          <w:rFonts w:cs="Arial"/>
          <w:noProof/>
        </w:rPr>
      </w:pPr>
      <w:r>
        <w:rPr>
          <w:rFonts w:cs="Arial"/>
          <w:noProof/>
        </w:rPr>
        <w:t>FSANZ (2009) Principles and practices of dietary exposure asessment for food regulatory purposes. Report prepared by Food Standards Australia New Zealand, Canberra.</w:t>
      </w:r>
    </w:p>
    <w:p w14:paraId="2C8F1C19" w14:textId="36777C5D" w:rsidR="0020364E" w:rsidRDefault="0020364E" w:rsidP="009F1485">
      <w:pPr>
        <w:tabs>
          <w:tab w:val="left" w:pos="0"/>
        </w:tabs>
        <w:rPr>
          <w:rFonts w:cs="Arial"/>
          <w:noProof/>
        </w:rPr>
      </w:pPr>
    </w:p>
    <w:p w14:paraId="74661888" w14:textId="0FA059EC" w:rsidR="007C5C1A" w:rsidRDefault="007C5C1A" w:rsidP="009A68E5">
      <w:pPr>
        <w:rPr>
          <w:szCs w:val="22"/>
          <w:lang w:bidi="ar-SA"/>
        </w:rPr>
      </w:pPr>
      <w:r>
        <w:rPr>
          <w:szCs w:val="22"/>
          <w:lang w:bidi="ar-SA"/>
        </w:rPr>
        <w:t xml:space="preserve">FSANZ (2018) </w:t>
      </w:r>
      <w:hyperlink r:id="rId38" w:history="1">
        <w:r w:rsidRPr="007C5C1A">
          <w:rPr>
            <w:rStyle w:val="Hyperlink"/>
            <w:szCs w:val="22"/>
            <w:lang w:bidi="ar-SA"/>
          </w:rPr>
          <w:t>A1157 Enzymatic production of Rebaudioside M.</w:t>
        </w:r>
      </w:hyperlink>
      <w:r>
        <w:rPr>
          <w:szCs w:val="22"/>
          <w:lang w:bidi="ar-SA"/>
        </w:rPr>
        <w:t xml:space="preserve"> Food Standards Australia New Zealand. </w:t>
      </w:r>
    </w:p>
    <w:p w14:paraId="59AAF87C" w14:textId="77777777" w:rsidR="007C5C1A" w:rsidRDefault="007C5C1A" w:rsidP="009A68E5">
      <w:pPr>
        <w:rPr>
          <w:szCs w:val="22"/>
          <w:lang w:bidi="ar-SA"/>
        </w:rPr>
      </w:pPr>
    </w:p>
    <w:p w14:paraId="29FAA636" w14:textId="47BA85C7" w:rsidR="00292552" w:rsidRDefault="00292552" w:rsidP="009A68E5">
      <w:pPr>
        <w:rPr>
          <w:szCs w:val="22"/>
          <w:lang w:bidi="ar-SA"/>
        </w:rPr>
      </w:pPr>
      <w:r>
        <w:rPr>
          <w:szCs w:val="22"/>
          <w:lang w:bidi="ar-SA"/>
        </w:rPr>
        <w:t xml:space="preserve">FSANZ (2017) </w:t>
      </w:r>
      <w:hyperlink r:id="rId39" w:history="1">
        <w:r w:rsidRPr="00292552">
          <w:rPr>
            <w:rStyle w:val="Hyperlink"/>
            <w:szCs w:val="22"/>
            <w:lang w:bidi="ar-SA"/>
          </w:rPr>
          <w:t>Application A1132 Broaden Definition of Steviol Glycosides (Intense Sweetener).</w:t>
        </w:r>
      </w:hyperlink>
      <w:r>
        <w:rPr>
          <w:szCs w:val="22"/>
          <w:lang w:bidi="ar-SA"/>
        </w:rPr>
        <w:t xml:space="preserve"> Food Standards Australia New Zealand.</w:t>
      </w:r>
    </w:p>
    <w:p w14:paraId="66312755" w14:textId="77777777" w:rsidR="00292552" w:rsidRDefault="00292552" w:rsidP="009A68E5">
      <w:pPr>
        <w:rPr>
          <w:szCs w:val="22"/>
          <w:lang w:bidi="ar-SA"/>
        </w:rPr>
      </w:pPr>
    </w:p>
    <w:p w14:paraId="21754D2A" w14:textId="0FC72708" w:rsidR="00833677" w:rsidRDefault="00833677" w:rsidP="009A68E5">
      <w:pPr>
        <w:rPr>
          <w:szCs w:val="22"/>
          <w:lang w:bidi="ar-SA"/>
        </w:rPr>
      </w:pPr>
      <w:r>
        <w:rPr>
          <w:szCs w:val="22"/>
          <w:lang w:bidi="ar-SA"/>
        </w:rPr>
        <w:t xml:space="preserve">FSANZ (2015) </w:t>
      </w:r>
      <w:hyperlink r:id="rId40" w:history="1">
        <w:r w:rsidRPr="00292552">
          <w:rPr>
            <w:rStyle w:val="Hyperlink"/>
            <w:szCs w:val="22"/>
            <w:lang w:bidi="ar-SA"/>
          </w:rPr>
          <w:t>Application A1108 Rebaudioside M as a Steviol Glycoside Intense Sweetener</w:t>
        </w:r>
        <w:r w:rsidR="00292552" w:rsidRPr="00292552">
          <w:rPr>
            <w:rStyle w:val="Hyperlink"/>
            <w:szCs w:val="22"/>
            <w:lang w:bidi="ar-SA"/>
          </w:rPr>
          <w:t>.</w:t>
        </w:r>
      </w:hyperlink>
      <w:r w:rsidR="00292552">
        <w:rPr>
          <w:szCs w:val="22"/>
          <w:lang w:bidi="ar-SA"/>
        </w:rPr>
        <w:t xml:space="preserve"> Food Standards Australia New Zealand. </w:t>
      </w:r>
    </w:p>
    <w:p w14:paraId="31638D45" w14:textId="77777777" w:rsidR="00833677" w:rsidRDefault="00833677" w:rsidP="009A68E5">
      <w:pPr>
        <w:rPr>
          <w:szCs w:val="22"/>
          <w:lang w:bidi="ar-SA"/>
        </w:rPr>
      </w:pPr>
    </w:p>
    <w:p w14:paraId="6483FFAB" w14:textId="0625CEC9" w:rsidR="009A68E5" w:rsidRPr="00CE259A" w:rsidRDefault="009A68E5" w:rsidP="009A68E5">
      <w:pPr>
        <w:rPr>
          <w:szCs w:val="22"/>
          <w:lang w:bidi="ar-SA"/>
        </w:rPr>
      </w:pPr>
      <w:r w:rsidRPr="00CE259A">
        <w:rPr>
          <w:szCs w:val="22"/>
          <w:lang w:bidi="ar-SA"/>
        </w:rPr>
        <w:t xml:space="preserve">FSANZ (2011) </w:t>
      </w:r>
      <w:hyperlink r:id="rId41" w:history="1">
        <w:r w:rsidR="00833677">
          <w:rPr>
            <w:rStyle w:val="Hyperlink"/>
            <w:szCs w:val="22"/>
            <w:lang w:bidi="ar-SA"/>
          </w:rPr>
          <w:t>Application A1037 Steviol Glycosides: Increase in Permitted Use Levels.</w:t>
        </w:r>
      </w:hyperlink>
      <w:r w:rsidRPr="00CE259A">
        <w:rPr>
          <w:szCs w:val="22"/>
          <w:lang w:bidi="ar-SA"/>
        </w:rPr>
        <w:t xml:space="preserve"> Food Standards Australia New Zealand.</w:t>
      </w:r>
    </w:p>
    <w:p w14:paraId="16CDD5FB" w14:textId="77777777" w:rsidR="005F526E" w:rsidRDefault="005F526E" w:rsidP="009A68E5">
      <w:pPr>
        <w:rPr>
          <w:szCs w:val="22"/>
          <w:lang w:bidi="ar-SA"/>
        </w:rPr>
      </w:pPr>
    </w:p>
    <w:p w14:paraId="4E84279C" w14:textId="737A9B4E" w:rsidR="009A68E5" w:rsidRPr="00CE259A" w:rsidRDefault="009A68E5" w:rsidP="009A68E5">
      <w:pPr>
        <w:rPr>
          <w:szCs w:val="22"/>
          <w:lang w:bidi="ar-SA"/>
        </w:rPr>
      </w:pPr>
      <w:r w:rsidRPr="00CE259A">
        <w:rPr>
          <w:szCs w:val="22"/>
          <w:lang w:bidi="ar-SA"/>
        </w:rPr>
        <w:t xml:space="preserve">FSANZ (2008) </w:t>
      </w:r>
      <w:hyperlink r:id="rId42" w:history="1">
        <w:r w:rsidR="00833677">
          <w:rPr>
            <w:rStyle w:val="Hyperlink"/>
            <w:szCs w:val="22"/>
            <w:lang w:bidi="ar-SA"/>
          </w:rPr>
          <w:t>Application A540 Steviol Glycosides as Intense Sweeteners.</w:t>
        </w:r>
      </w:hyperlink>
      <w:r w:rsidRPr="00CE259A">
        <w:rPr>
          <w:szCs w:val="22"/>
          <w:lang w:bidi="ar-SA"/>
        </w:rPr>
        <w:t xml:space="preserve"> Food Standards Australia New Zealand.</w:t>
      </w:r>
    </w:p>
    <w:p w14:paraId="1F7731A1" w14:textId="5F5F9F17" w:rsidR="009A68E5" w:rsidRDefault="009A68E5" w:rsidP="0020364E">
      <w:pPr>
        <w:tabs>
          <w:tab w:val="left" w:pos="0"/>
        </w:tabs>
        <w:rPr>
          <w:rFonts w:cs="Arial"/>
          <w:noProof/>
        </w:rPr>
      </w:pPr>
    </w:p>
    <w:p w14:paraId="4D906C28" w14:textId="77777777" w:rsidR="007C5C1A" w:rsidRPr="00551BB3" w:rsidRDefault="007C5C1A" w:rsidP="007C5C1A">
      <w:r w:rsidRPr="00551BB3">
        <w:t xml:space="preserve">Gardana C, Scaglianti M, Simonetti P (2010) Evaluation of steviol and its glycosides in </w:t>
      </w:r>
      <w:r w:rsidRPr="00551BB3">
        <w:rPr>
          <w:i/>
        </w:rPr>
        <w:t>Stevia rebaudiana</w:t>
      </w:r>
      <w:r w:rsidRPr="00551BB3">
        <w:t xml:space="preserve"> leaves and commercial sweetener by ultra-high-performance liquid chromatography-mass spectrometry. J Chromatogr A, 1217(9):1463–1470.</w:t>
      </w:r>
    </w:p>
    <w:p w14:paraId="59A03E9F" w14:textId="77777777" w:rsidR="007C5C1A" w:rsidRDefault="007C5C1A" w:rsidP="0020364E">
      <w:pPr>
        <w:tabs>
          <w:tab w:val="left" w:pos="0"/>
        </w:tabs>
        <w:rPr>
          <w:rFonts w:cs="Arial"/>
          <w:noProof/>
        </w:rPr>
      </w:pPr>
    </w:p>
    <w:p w14:paraId="45895F68" w14:textId="092C2E07" w:rsidR="004754BD" w:rsidRDefault="004754BD" w:rsidP="007C5C1A">
      <w:r>
        <w:t xml:space="preserve">Gonzalez C, Tapia M, Perez E, Pallet D, Dornier M (2014). </w:t>
      </w:r>
      <w:hyperlink r:id="rId43" w:history="1">
        <w:r w:rsidRPr="00300462">
          <w:rPr>
            <w:rStyle w:val="Hyperlink"/>
          </w:rPr>
          <w:t>Main properties of steviol glycosides and their potential in the food industry: a review.</w:t>
        </w:r>
      </w:hyperlink>
      <w:r>
        <w:t xml:space="preserve"> Fruits, 69(2).</w:t>
      </w:r>
      <w:r w:rsidR="00300462">
        <w:t xml:space="preserve"> Accessed </w:t>
      </w:r>
      <w:r w:rsidR="00EA403C">
        <w:t xml:space="preserve">13 Aug </w:t>
      </w:r>
      <w:r w:rsidR="00300462">
        <w:t>2018.</w:t>
      </w:r>
    </w:p>
    <w:p w14:paraId="0C5309DA" w14:textId="77777777" w:rsidR="004754BD" w:rsidRDefault="004754BD" w:rsidP="007C5C1A"/>
    <w:p w14:paraId="6A2550FE" w14:textId="6533B927" w:rsidR="007C5C1A" w:rsidRPr="00551BB3" w:rsidRDefault="007C5C1A" w:rsidP="007C5C1A">
      <w:r w:rsidRPr="00551BB3">
        <w:t>Geuns JMC (2008). Analysis of steviol glycosides: validation of the methods. In: Steviol Glycosides: Technical and Pharmacological Aspects: Proceedings of the 2nd Stevia Symposium. Heverlee, Belgium: Euprint ed., pp. 59–78.</w:t>
      </w:r>
    </w:p>
    <w:p w14:paraId="3FCF52D1" w14:textId="77777777" w:rsidR="007C5C1A" w:rsidRDefault="007C5C1A" w:rsidP="0020364E">
      <w:pPr>
        <w:tabs>
          <w:tab w:val="left" w:pos="0"/>
        </w:tabs>
        <w:rPr>
          <w:rFonts w:cs="Arial"/>
          <w:noProof/>
        </w:rPr>
      </w:pPr>
    </w:p>
    <w:p w14:paraId="75D87CA6" w14:textId="2149C2FE" w:rsidR="004754BD" w:rsidRPr="00C01C95" w:rsidRDefault="004754BD" w:rsidP="004754BD">
      <w:r w:rsidRPr="00C01C95">
        <w:t xml:space="preserve">Health Canada (2016) </w:t>
      </w:r>
      <w:hyperlink r:id="rId44" w:history="1">
        <w:r w:rsidRPr="00C3746E">
          <w:rPr>
            <w:rStyle w:val="Hyperlink"/>
          </w:rPr>
          <w:t xml:space="preserve">Notice of Modification to the List of Permitted Sweeteners to Enable the Use of </w:t>
        </w:r>
        <w:r w:rsidR="004C1B55">
          <w:rPr>
            <w:rStyle w:val="Hyperlink"/>
          </w:rPr>
          <w:t>Reb M</w:t>
        </w:r>
        <w:r w:rsidRPr="00C3746E">
          <w:rPr>
            <w:rStyle w:val="Hyperlink"/>
          </w:rPr>
          <w:t xml:space="preserve"> as a Sweetener in Various Unstandardized Foods</w:t>
        </w:r>
      </w:hyperlink>
      <w:r w:rsidRPr="00C01C95">
        <w:t xml:space="preserve"> - Reference Number: NOM/ADM-0065</w:t>
      </w:r>
      <w:r>
        <w:t>.</w:t>
      </w:r>
      <w:r w:rsidRPr="00C01C95">
        <w:t xml:space="preserve"> </w:t>
      </w:r>
      <w:r w:rsidRPr="00C3746E">
        <w:t xml:space="preserve">Accessed </w:t>
      </w:r>
      <w:r w:rsidR="00EA403C">
        <w:t>21 Aug</w:t>
      </w:r>
      <w:r w:rsidRPr="00C3746E">
        <w:t xml:space="preserve"> 2018</w:t>
      </w:r>
    </w:p>
    <w:p w14:paraId="0D32DEB9" w14:textId="77777777" w:rsidR="004754BD" w:rsidRPr="00C01C95" w:rsidRDefault="004754BD" w:rsidP="004754BD"/>
    <w:p w14:paraId="739720C4" w14:textId="06EE1D50" w:rsidR="004754BD" w:rsidRDefault="004754BD" w:rsidP="004754BD">
      <w:r w:rsidRPr="00C01C95">
        <w:t xml:space="preserve">Health Canada (2017) </w:t>
      </w:r>
      <w:hyperlink r:id="rId45" w:history="1">
        <w:r w:rsidRPr="00BE669F">
          <w:rPr>
            <w:rStyle w:val="Hyperlink"/>
          </w:rPr>
          <w:t>Notice of Modification to the List of Permitted Sweeteners to Enable the Use of Steviol Glycosides from Stevia rebaudiana Bertoni as a Sweetener</w:t>
        </w:r>
      </w:hyperlink>
      <w:r w:rsidRPr="00C01C95">
        <w:t xml:space="preserve">. </w:t>
      </w:r>
      <w:r w:rsidR="00EA403C">
        <w:t>Accessed 21 Aug</w:t>
      </w:r>
      <w:r>
        <w:t xml:space="preserve"> </w:t>
      </w:r>
      <w:r w:rsidRPr="00BE669F">
        <w:t>2018</w:t>
      </w:r>
    </w:p>
    <w:p w14:paraId="2AB8AAE5" w14:textId="77777777" w:rsidR="004754BD" w:rsidRDefault="004754BD" w:rsidP="0020364E">
      <w:pPr>
        <w:tabs>
          <w:tab w:val="left" w:pos="0"/>
        </w:tabs>
        <w:rPr>
          <w:rFonts w:cs="Arial"/>
          <w:noProof/>
        </w:rPr>
      </w:pPr>
    </w:p>
    <w:p w14:paraId="20EAC13F" w14:textId="259A4793" w:rsidR="0020364E" w:rsidRDefault="0020364E" w:rsidP="0020364E">
      <w:pPr>
        <w:tabs>
          <w:tab w:val="left" w:pos="0"/>
        </w:tabs>
        <w:rPr>
          <w:rFonts w:cs="Arial"/>
          <w:noProof/>
        </w:rPr>
      </w:pPr>
      <w:r>
        <w:rPr>
          <w:rFonts w:cs="Arial"/>
          <w:noProof/>
        </w:rPr>
        <w:t xml:space="preserve">MiniStar International Inc (2012) Notice to the US Food and Drug Administration that the use of Sweetn’ Up stevia – reb A 98% derived from Stevia rebaudiana as a food ingredient is generally recognised as safe (GRAS). </w:t>
      </w:r>
      <w:r w:rsidRPr="0020364E">
        <w:rPr>
          <w:rFonts w:cs="Arial"/>
          <w:noProof/>
        </w:rPr>
        <w:t>Eurofins/Product Safety Labor</w:t>
      </w:r>
      <w:r>
        <w:rPr>
          <w:rFonts w:cs="Arial"/>
          <w:noProof/>
        </w:rPr>
        <w:t>atories,Dayton, NJ, USA (2011)</w:t>
      </w:r>
      <w:r w:rsidR="00C52852">
        <w:rPr>
          <w:rFonts w:cs="Arial"/>
          <w:noProof/>
        </w:rPr>
        <w:t xml:space="preserve"> </w:t>
      </w:r>
      <w:r w:rsidR="00C52852" w:rsidRPr="00C52852">
        <w:rPr>
          <w:rFonts w:cs="Arial"/>
          <w:noProof/>
        </w:rPr>
        <w:t>Stevia Leaf</w:t>
      </w:r>
      <w:r w:rsidR="00C52852">
        <w:rPr>
          <w:rFonts w:cs="Arial"/>
          <w:noProof/>
        </w:rPr>
        <w:t xml:space="preserve"> 98% Reb-A Powder Extra</w:t>
      </w:r>
      <w:r w:rsidR="00C52852" w:rsidRPr="00C52852">
        <w:rPr>
          <w:rFonts w:cs="Arial"/>
          <w:noProof/>
        </w:rPr>
        <w:t>ct</w:t>
      </w:r>
      <w:r w:rsidR="00C52852">
        <w:rPr>
          <w:rFonts w:cs="Arial"/>
          <w:noProof/>
        </w:rPr>
        <w:t>.</w:t>
      </w:r>
      <w:r w:rsidRPr="0020364E">
        <w:rPr>
          <w:rFonts w:cs="Arial"/>
          <w:noProof/>
        </w:rPr>
        <w:t xml:space="preserve"> Acute Oral Toxicity</w:t>
      </w:r>
      <w:r>
        <w:rPr>
          <w:rFonts w:cs="Arial"/>
          <w:noProof/>
        </w:rPr>
        <w:t xml:space="preserve"> </w:t>
      </w:r>
      <w:r w:rsidRPr="0020364E">
        <w:rPr>
          <w:rFonts w:cs="Arial"/>
          <w:noProof/>
        </w:rPr>
        <w:t xml:space="preserve">Study in Rats – Up and down procedure. Laboratory study number 32663. </w:t>
      </w:r>
      <w:hyperlink r:id="rId46" w:history="1">
        <w:r w:rsidRPr="0020364E">
          <w:rPr>
            <w:rStyle w:val="Hyperlink"/>
            <w:rFonts w:cs="Arial"/>
            <w:noProof/>
          </w:rPr>
          <w:t>US FDA GRN No. 418</w:t>
        </w:r>
      </w:hyperlink>
      <w:r>
        <w:rPr>
          <w:rFonts w:cs="Arial"/>
          <w:noProof/>
        </w:rPr>
        <w:t xml:space="preserve"> Accessed 22</w:t>
      </w:r>
      <w:r w:rsidRPr="0020364E">
        <w:rPr>
          <w:rFonts w:cs="Arial"/>
          <w:noProof/>
          <w:vertAlign w:val="superscript"/>
        </w:rPr>
        <w:t>nd</w:t>
      </w:r>
      <w:r>
        <w:rPr>
          <w:rFonts w:cs="Arial"/>
          <w:noProof/>
        </w:rPr>
        <w:t xml:space="preserve"> August 2018 </w:t>
      </w:r>
    </w:p>
    <w:p w14:paraId="3FF7BD60" w14:textId="77777777" w:rsidR="009F1485" w:rsidRPr="00C01C95" w:rsidRDefault="009F1485" w:rsidP="00963144"/>
    <w:p w14:paraId="75CCA9DD" w14:textId="1B2DFE39" w:rsidR="00724574" w:rsidRPr="00AC01F0" w:rsidRDefault="00724574" w:rsidP="00724574">
      <w:r w:rsidRPr="00AC01F0">
        <w:br w:type="page"/>
      </w:r>
    </w:p>
    <w:p w14:paraId="479D751A" w14:textId="5CF5492C" w:rsidR="00724574" w:rsidRDefault="00D7081B" w:rsidP="00F002E7">
      <w:pPr>
        <w:pStyle w:val="Heading1"/>
        <w:numPr>
          <w:ilvl w:val="0"/>
          <w:numId w:val="0"/>
        </w:numPr>
        <w:ind w:left="432" w:hanging="432"/>
      </w:pPr>
      <w:bookmarkStart w:id="199" w:name="_Toc518388308"/>
      <w:bookmarkStart w:id="200" w:name="_Toc518655006"/>
      <w:bookmarkStart w:id="201" w:name="_Toc522719009"/>
      <w:bookmarkStart w:id="202" w:name="_Toc522712047"/>
      <w:bookmarkStart w:id="203" w:name="_Toc523830683"/>
      <w:bookmarkStart w:id="204" w:name="_Toc526337853"/>
      <w:bookmarkStart w:id="205" w:name="_Toc526343112"/>
      <w:r>
        <w:lastRenderedPageBreak/>
        <w:t xml:space="preserve">Appendix 1 </w:t>
      </w:r>
      <w:r w:rsidRPr="00D7081B">
        <w:t>Dietary</w:t>
      </w:r>
      <w:r>
        <w:t xml:space="preserve"> Exposure Assessments at </w:t>
      </w:r>
      <w:r w:rsidR="00724574">
        <w:t>FSANZ</w:t>
      </w:r>
      <w:bookmarkEnd w:id="199"/>
      <w:bookmarkEnd w:id="200"/>
      <w:bookmarkEnd w:id="201"/>
      <w:bookmarkEnd w:id="202"/>
      <w:bookmarkEnd w:id="203"/>
      <w:bookmarkEnd w:id="204"/>
      <w:bookmarkEnd w:id="205"/>
    </w:p>
    <w:p w14:paraId="7EA23CFC" w14:textId="77777777" w:rsidR="00724574" w:rsidRDefault="00724574" w:rsidP="00724574">
      <w:pPr>
        <w:rPr>
          <w:lang w:eastAsia="en-GB"/>
        </w:rPr>
      </w:pPr>
      <w:r w:rsidRPr="001C66A9">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w:t>
      </w:r>
      <w:r>
        <w:rPr>
          <w:lang w:eastAsia="en-GB"/>
        </w:rPr>
        <w:t>s is called ‘dietary modelling’, where:</w:t>
      </w:r>
    </w:p>
    <w:p w14:paraId="310A87E2" w14:textId="77777777" w:rsidR="00724574" w:rsidRPr="001C66A9" w:rsidRDefault="00724574" w:rsidP="00724574">
      <w:pPr>
        <w:jc w:val="center"/>
        <w:rPr>
          <w:lang w:eastAsia="en-GB"/>
        </w:rPr>
      </w:pPr>
    </w:p>
    <w:p w14:paraId="7C0BB826" w14:textId="77777777" w:rsidR="00724574" w:rsidRDefault="00724574" w:rsidP="004A36C3">
      <w:pPr>
        <w:rPr>
          <w:i/>
          <w:lang w:eastAsia="en-GB"/>
        </w:rPr>
      </w:pPr>
      <w:r w:rsidRPr="001C66A9">
        <w:rPr>
          <w:i/>
          <w:lang w:eastAsia="en-GB"/>
        </w:rPr>
        <w:t>Dietary exposure = food chemical concentration x food consumption</w:t>
      </w:r>
    </w:p>
    <w:p w14:paraId="68A47BD8" w14:textId="77777777" w:rsidR="00724574" w:rsidRPr="001C66A9" w:rsidRDefault="00724574" w:rsidP="00724574">
      <w:pPr>
        <w:rPr>
          <w:i/>
          <w:lang w:eastAsia="en-GB"/>
        </w:rPr>
      </w:pPr>
    </w:p>
    <w:p w14:paraId="092FF8FF" w14:textId="77777777" w:rsidR="00724574" w:rsidRDefault="00724574" w:rsidP="00724574">
      <w:pPr>
        <w:rPr>
          <w:lang w:eastAsia="en-GB"/>
        </w:rPr>
      </w:pPr>
      <w:r w:rsidRPr="001C66A9">
        <w:rPr>
          <w:lang w:eastAsia="en-GB"/>
        </w:rPr>
        <w:t xml:space="preserve">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Pr>
          <w:lang w:eastAsia="en-GB"/>
        </w:rPr>
        <w:t>exposure</w:t>
      </w:r>
      <w:r w:rsidRPr="001C66A9">
        <w:rPr>
          <w:lang w:eastAsia="en-GB"/>
        </w:rPr>
        <w:t xml:space="preserve">. Population summary statistics such as the mean </w:t>
      </w:r>
      <w:r>
        <w:rPr>
          <w:lang w:eastAsia="en-GB"/>
        </w:rPr>
        <w:t>exposure</w:t>
      </w:r>
      <w:r w:rsidRPr="001C66A9">
        <w:rPr>
          <w:lang w:eastAsia="en-GB"/>
        </w:rPr>
        <w:t xml:space="preserve"> or a high percentile </w:t>
      </w:r>
      <w:r>
        <w:rPr>
          <w:lang w:eastAsia="en-GB"/>
        </w:rPr>
        <w:t>exposure</w:t>
      </w:r>
      <w:r w:rsidRPr="001C66A9">
        <w:rPr>
          <w:lang w:eastAsia="en-GB"/>
        </w:rPr>
        <w:t xml:space="preserve"> are derived from the ranked individual person’s </w:t>
      </w:r>
      <w:r>
        <w:rPr>
          <w:lang w:eastAsia="en-GB"/>
        </w:rPr>
        <w:t>exposure</w:t>
      </w:r>
      <w:r w:rsidRPr="001C66A9">
        <w:rPr>
          <w:lang w:eastAsia="en-GB"/>
        </w:rPr>
        <w:t>s from the nutrition survey.</w:t>
      </w:r>
    </w:p>
    <w:p w14:paraId="106FF4DA" w14:textId="77777777" w:rsidR="00724574" w:rsidRPr="001C66A9" w:rsidRDefault="00724574" w:rsidP="00724574">
      <w:pPr>
        <w:rPr>
          <w:lang w:eastAsia="en-GB"/>
        </w:rPr>
      </w:pPr>
    </w:p>
    <w:p w14:paraId="32111B19" w14:textId="77777777" w:rsidR="00724574" w:rsidRDefault="00724574" w:rsidP="00724574">
      <w:r w:rsidRPr="001C66A9">
        <w:t>An overview of how dietary e</w:t>
      </w:r>
      <w:r>
        <w:t>xposure</w:t>
      </w:r>
      <w:r w:rsidRPr="001C66A9">
        <w:t xml:space="preserve"> assessments are conducted and their place in the FSANZ Risk Analysis Process is provided on the FSANZ website at:</w:t>
      </w:r>
      <w:r>
        <w:t xml:space="preserve"> </w:t>
      </w:r>
      <w:hyperlink r:id="rId47" w:history="1">
        <w:r w:rsidRPr="001C66A9">
          <w:rPr>
            <w:rStyle w:val="Hyperlink"/>
          </w:rPr>
          <w:t>http://www.foodstandards.gov.au/science/riskanalysis/Pages/default.aspx</w:t>
        </w:r>
      </w:hyperlink>
      <w:r w:rsidRPr="001C66A9">
        <w:t xml:space="preserve"> </w:t>
      </w:r>
    </w:p>
    <w:p w14:paraId="554967FF" w14:textId="77777777" w:rsidR="00724574" w:rsidRPr="001C66A9" w:rsidRDefault="00724574" w:rsidP="00724574"/>
    <w:p w14:paraId="7C277A46" w14:textId="77777777" w:rsidR="00724574" w:rsidRPr="001C66A9" w:rsidRDefault="00724574" w:rsidP="00724574">
      <w:r w:rsidRPr="001C66A9">
        <w:rPr>
          <w:lang w:eastAsia="en-GB"/>
        </w:rPr>
        <w:t xml:space="preserve">FSANZ has developed a custom-built computer program ‘Harvest’ to calculate dietary exposures. Harvest replaces the program ‘DIAMOND’ that </w:t>
      </w:r>
      <w:r>
        <w:rPr>
          <w:lang w:eastAsia="en-GB"/>
        </w:rPr>
        <w:t>had</w:t>
      </w:r>
      <w:r w:rsidRPr="001C66A9">
        <w:rPr>
          <w:lang w:eastAsia="en-GB"/>
        </w:rPr>
        <w:t xml:space="preserve"> been used by FSANZ for many years. Harvest has been designed to replicate the calculations that occurred within DIAMOND using a different software package.</w:t>
      </w:r>
    </w:p>
    <w:p w14:paraId="118ACB11" w14:textId="77777777" w:rsidR="00724574" w:rsidRPr="001C66A9" w:rsidRDefault="00724574" w:rsidP="00724574"/>
    <w:p w14:paraId="149CF391" w14:textId="77777777" w:rsidR="00724574" w:rsidRPr="001C66A9" w:rsidRDefault="00724574" w:rsidP="00724574">
      <w:r w:rsidRPr="001C66A9">
        <w:t xml:space="preserve">Further detailed information on conducting dietary exposure assessments at FSANZ is provided in </w:t>
      </w:r>
      <w:r w:rsidRPr="001C66A9">
        <w:rPr>
          <w:i/>
        </w:rPr>
        <w:t xml:space="preserve">Principles and Practices of Dietary Exposure Assessment for Food Regulatory Purposes </w:t>
      </w:r>
      <w:r w:rsidRPr="001C66A9">
        <w:t xml:space="preserve">(FSANZ 2009), available at: </w:t>
      </w:r>
      <w:hyperlink r:id="rId48" w:history="1">
        <w:r w:rsidRPr="001C66A9">
          <w:rPr>
            <w:rStyle w:val="Hyperlink"/>
          </w:rPr>
          <w:t>http://www.foodstandards.gov.au/science/exposure/documents/Principles%20_%20practices%20exposure%20assessment%202009.pdf</w:t>
        </w:r>
      </w:hyperlink>
      <w:r w:rsidRPr="001C66A9">
        <w:t xml:space="preserve"> </w:t>
      </w:r>
    </w:p>
    <w:p w14:paraId="6438B17A" w14:textId="6EE47FA1" w:rsidR="00724574" w:rsidRPr="001C66A9" w:rsidRDefault="00F002E7" w:rsidP="00F002E7">
      <w:pPr>
        <w:pStyle w:val="Heading2"/>
        <w:numPr>
          <w:ilvl w:val="0"/>
          <w:numId w:val="0"/>
        </w:numPr>
      </w:pPr>
      <w:bookmarkStart w:id="206" w:name="_Toc256582725"/>
      <w:bookmarkStart w:id="207" w:name="_Toc360028638"/>
      <w:bookmarkStart w:id="208" w:name="_Toc415041937"/>
      <w:bookmarkStart w:id="209" w:name="_Toc494292566"/>
      <w:bookmarkStart w:id="210" w:name="_Toc508119311"/>
      <w:bookmarkStart w:id="211" w:name="_Toc516668856"/>
      <w:bookmarkStart w:id="212" w:name="_Toc517709909"/>
      <w:bookmarkStart w:id="213" w:name="_Toc518388309"/>
      <w:bookmarkStart w:id="214" w:name="_Toc518655007"/>
      <w:bookmarkStart w:id="215" w:name="_Toc522719010"/>
      <w:bookmarkStart w:id="216" w:name="_Toc522712048"/>
      <w:bookmarkStart w:id="217" w:name="_Toc523830684"/>
      <w:bookmarkStart w:id="218" w:name="_Toc526337854"/>
      <w:bookmarkStart w:id="219" w:name="_Toc526343113"/>
      <w:r>
        <w:t xml:space="preserve">1.1 </w:t>
      </w:r>
      <w:r w:rsidR="00724574" w:rsidRPr="001C66A9">
        <w:t>Food consumption data used</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DFD912D" w14:textId="77777777" w:rsidR="00724574" w:rsidRPr="00BC485A" w:rsidRDefault="00724574" w:rsidP="00724574">
      <w:r w:rsidRPr="00BC485A">
        <w:t xml:space="preserve">The most recent food consumption data available were used to estimate </w:t>
      </w:r>
      <w:r>
        <w:t xml:space="preserve">steviol glycoside exposures </w:t>
      </w:r>
      <w:r w:rsidRPr="00BC485A">
        <w:t>for the Australian and New Zealand populations. The national nutrition survey data used for these assessments were:</w:t>
      </w:r>
    </w:p>
    <w:p w14:paraId="33B74EDA" w14:textId="77777777" w:rsidR="00724574" w:rsidRPr="00BC485A" w:rsidRDefault="00724574" w:rsidP="00724574">
      <w:pPr>
        <w:pStyle w:val="FSBullet1"/>
        <w:ind w:left="502" w:hanging="360"/>
      </w:pPr>
      <w:r w:rsidRPr="00BC485A">
        <w:t>The 2011-12 Australian National Nutrition and Physical Activity Survey (2011</w:t>
      </w:r>
      <w:r>
        <w:t>-12</w:t>
      </w:r>
      <w:r w:rsidRPr="00BC485A">
        <w:t> NNPAS)</w:t>
      </w:r>
    </w:p>
    <w:p w14:paraId="1A58E36E" w14:textId="77777777" w:rsidR="00724574" w:rsidRPr="00BC485A" w:rsidRDefault="00724574" w:rsidP="00724574">
      <w:pPr>
        <w:pStyle w:val="FSBullet1"/>
        <w:ind w:left="502" w:hanging="360"/>
      </w:pPr>
      <w:r w:rsidRPr="00BC485A">
        <w:t>The 2002 New Zealand National Children’s Nutrition Survey (2002 NZ</w:t>
      </w:r>
      <w:r>
        <w:t xml:space="preserve"> C</w:t>
      </w:r>
      <w:r w:rsidRPr="00BC485A">
        <w:t>NS)</w:t>
      </w:r>
    </w:p>
    <w:p w14:paraId="5F19AB75" w14:textId="77777777" w:rsidR="00724574" w:rsidRPr="00BC485A" w:rsidRDefault="00724574" w:rsidP="00724574">
      <w:pPr>
        <w:pStyle w:val="FSBullet1"/>
        <w:ind w:left="502" w:hanging="360"/>
      </w:pPr>
      <w:r w:rsidRPr="00BC485A">
        <w:t>The 2008-09 New Zealand Adult Nutrition Survey (2008 NZ</w:t>
      </w:r>
      <w:r>
        <w:t xml:space="preserve"> </w:t>
      </w:r>
      <w:r w:rsidRPr="00BC485A">
        <w:t>ANS).</w:t>
      </w:r>
    </w:p>
    <w:p w14:paraId="76D37FB1" w14:textId="77777777" w:rsidR="00724574" w:rsidRPr="00BC485A" w:rsidRDefault="00724574" w:rsidP="00724574"/>
    <w:p w14:paraId="2AD6A17D" w14:textId="77777777" w:rsidR="00724574" w:rsidRDefault="00724574" w:rsidP="00724574">
      <w:pPr>
        <w:rPr>
          <w:lang w:eastAsia="en-AU"/>
        </w:rPr>
      </w:pPr>
      <w:r w:rsidRPr="00BC485A">
        <w:t xml:space="preserve">The design of each of these surveys varies somewhat and key attributes of each are set out below. </w:t>
      </w:r>
      <w:r w:rsidRPr="00BC485A">
        <w:rPr>
          <w:lang w:eastAsia="en-AU"/>
        </w:rPr>
        <w:t xml:space="preserve">Further information on the </w:t>
      </w:r>
      <w:r>
        <w:rPr>
          <w:lang w:eastAsia="en-AU"/>
        </w:rPr>
        <w:t>n</w:t>
      </w:r>
      <w:r w:rsidRPr="00BC485A">
        <w:rPr>
          <w:lang w:eastAsia="en-AU"/>
        </w:rPr>
        <w:t xml:space="preserve">ational </w:t>
      </w:r>
      <w:r>
        <w:rPr>
          <w:lang w:eastAsia="en-AU"/>
        </w:rPr>
        <w:t>n</w:t>
      </w:r>
      <w:r w:rsidRPr="00BC485A">
        <w:rPr>
          <w:lang w:eastAsia="en-AU"/>
        </w:rPr>
        <w:t xml:space="preserve">utrition </w:t>
      </w:r>
      <w:r>
        <w:rPr>
          <w:lang w:eastAsia="en-AU"/>
        </w:rPr>
        <w:t>s</w:t>
      </w:r>
      <w:r w:rsidRPr="00BC485A">
        <w:rPr>
          <w:lang w:eastAsia="en-AU"/>
        </w:rPr>
        <w:t xml:space="preserve">urveys used to conduct dietary exposure assessments is available on the FSANZ website at </w:t>
      </w:r>
      <w:hyperlink r:id="rId49" w:history="1">
        <w:r w:rsidRPr="00BC485A">
          <w:rPr>
            <w:color w:val="3333FF"/>
            <w:u w:val="single"/>
            <w:lang w:eastAsia="en-AU"/>
          </w:rPr>
          <w:t>http://www.foodstandards.gov.au/science/exposure/Pages/dietaryexposureandin4438.aspx</w:t>
        </w:r>
      </w:hyperlink>
      <w:r w:rsidRPr="00BC485A">
        <w:rPr>
          <w:lang w:eastAsia="en-AU"/>
        </w:rPr>
        <w:t>.</w:t>
      </w:r>
    </w:p>
    <w:p w14:paraId="06FDF960" w14:textId="77777777" w:rsidR="00724574" w:rsidRPr="00BC485A" w:rsidRDefault="00724574" w:rsidP="00724574">
      <w:pPr>
        <w:rPr>
          <w:i/>
          <w:highlight w:val="yellow"/>
        </w:rPr>
      </w:pPr>
    </w:p>
    <w:p w14:paraId="58549DDB" w14:textId="135A5D4C" w:rsidR="00724574" w:rsidRDefault="00724574" w:rsidP="004A36C3">
      <w:pPr>
        <w:pStyle w:val="Heading3"/>
      </w:pPr>
      <w:bookmarkStart w:id="220" w:name="_Toc415041938"/>
      <w:bookmarkStart w:id="221" w:name="_Toc494292567"/>
      <w:bookmarkStart w:id="222" w:name="_Toc518655008"/>
      <w:bookmarkStart w:id="223" w:name="_Toc522719011"/>
      <w:bookmarkStart w:id="224" w:name="_Toc522712049"/>
      <w:bookmarkStart w:id="225" w:name="_Toc523830685"/>
      <w:bookmarkStart w:id="226" w:name="_Toc526337855"/>
      <w:bookmarkStart w:id="227" w:name="_Toc526343114"/>
      <w:bookmarkStart w:id="228" w:name="_Toc508119312"/>
      <w:bookmarkStart w:id="229" w:name="_Toc516668857"/>
      <w:bookmarkStart w:id="230" w:name="_Toc517709910"/>
      <w:bookmarkStart w:id="231" w:name="_Toc518388310"/>
      <w:r w:rsidRPr="0033168F">
        <w:lastRenderedPageBreak/>
        <w:t>1.1.1</w:t>
      </w:r>
      <w:bookmarkEnd w:id="220"/>
      <w:bookmarkEnd w:id="221"/>
      <w:r w:rsidRPr="0033168F">
        <w:tab/>
        <w:t xml:space="preserve">2011–12 Australian National Nutrition and Physical Activity Survey (2011-12 </w:t>
      </w:r>
      <w:r>
        <w:t>NNPAS)</w:t>
      </w:r>
      <w:bookmarkEnd w:id="222"/>
      <w:bookmarkEnd w:id="223"/>
      <w:bookmarkEnd w:id="224"/>
      <w:bookmarkEnd w:id="225"/>
      <w:bookmarkEnd w:id="226"/>
      <w:bookmarkEnd w:id="227"/>
    </w:p>
    <w:bookmarkEnd w:id="228"/>
    <w:bookmarkEnd w:id="229"/>
    <w:bookmarkEnd w:id="230"/>
    <w:bookmarkEnd w:id="231"/>
    <w:p w14:paraId="4138CD6D" w14:textId="77777777" w:rsidR="00724574" w:rsidRPr="0033168F" w:rsidRDefault="00724574" w:rsidP="00724574">
      <w:pPr>
        <w:keepLines/>
      </w:pPr>
      <w:r w:rsidRPr="0033168F">
        <w:t xml:space="preserve">The 2011–12 Australian National Nutrition and Physical Activity Survey (2011-12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w:t>
      </w:r>
      <w:r>
        <w:t xml:space="preserve">(n=7,735) </w:t>
      </w:r>
      <w:r w:rsidRPr="0033168F">
        <w:t>also completing a second 24-hour recall on a second, non-consecutive day. The data were collected from May 2011 to June 2012 (with no enumeration between August and September 2011 due to the Census). Only those respondents who had two days of food consumption data were used to estimate dietary exposures for this assessment. T</w:t>
      </w:r>
      <w:r w:rsidRPr="0033168F">
        <w:rPr>
          <w:lang w:eastAsia="en-AU"/>
        </w:rPr>
        <w:t xml:space="preserve">he </w:t>
      </w:r>
      <w:r>
        <w:rPr>
          <w:lang w:eastAsia="en-AU"/>
        </w:rPr>
        <w:t>Day 1 and 2</w:t>
      </w:r>
      <w:r w:rsidRPr="0033168F">
        <w:rPr>
          <w:lang w:eastAsia="en-AU"/>
        </w:rPr>
        <w:t xml:space="preserve"> average provides the best estimates of </w:t>
      </w:r>
      <w:r w:rsidRPr="0033168F">
        <w:t>dietary</w:t>
      </w:r>
      <w:r w:rsidRPr="0033168F">
        <w:rPr>
          <w:lang w:eastAsia="en-AU"/>
        </w:rPr>
        <w:t xml:space="preserve"> </w:t>
      </w:r>
      <w:r>
        <w:rPr>
          <w:lang w:eastAsia="en-AU"/>
        </w:rPr>
        <w:t>exposure</w:t>
      </w:r>
      <w:r w:rsidRPr="0033168F">
        <w:rPr>
          <w:lang w:eastAsia="en-AU"/>
        </w:rPr>
        <w:t xml:space="preserve">s for Australians aged 2 years and above. </w:t>
      </w:r>
      <w:r w:rsidRPr="0033168F">
        <w:t xml:space="preserve">Consumption and respondent data from the survey were incorporated into the Harvest program from the Confidentialised Unit Record Files (CURF) data set </w:t>
      </w:r>
      <w:r w:rsidRPr="0033168F">
        <w:fldChar w:fldCharType="begin"/>
      </w:r>
      <w:r w:rsidRPr="0033168F">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33168F">
        <w:fldChar w:fldCharType="separate"/>
      </w:r>
      <w:r w:rsidRPr="0033168F">
        <w:rPr>
          <w:noProof/>
        </w:rPr>
        <w:t>(ABS 2014)</w:t>
      </w:r>
      <w:r w:rsidRPr="0033168F">
        <w:fldChar w:fldCharType="end"/>
      </w:r>
      <w:r w:rsidRPr="0033168F">
        <w:t>.</w:t>
      </w:r>
      <w:r>
        <w:t xml:space="preserve"> These data were weighted during the calculations undertaken in Harvest.</w:t>
      </w:r>
    </w:p>
    <w:p w14:paraId="3B2D9388" w14:textId="796FDB7C" w:rsidR="00724574" w:rsidRPr="00BC485A" w:rsidRDefault="00724574" w:rsidP="004A36C3">
      <w:pPr>
        <w:pStyle w:val="Heading3"/>
      </w:pPr>
      <w:bookmarkStart w:id="232" w:name="_Toc434566820"/>
      <w:bookmarkStart w:id="233" w:name="_Toc508119313"/>
      <w:bookmarkStart w:id="234" w:name="_Toc516668858"/>
      <w:bookmarkStart w:id="235" w:name="_Toc517709911"/>
      <w:bookmarkStart w:id="236" w:name="_Toc518388311"/>
      <w:bookmarkStart w:id="237" w:name="_Toc518655009"/>
      <w:bookmarkStart w:id="238" w:name="_Toc522719012"/>
      <w:bookmarkStart w:id="239" w:name="_Toc522712050"/>
      <w:bookmarkStart w:id="240" w:name="_Toc523830686"/>
      <w:bookmarkStart w:id="241" w:name="_Toc526337856"/>
      <w:bookmarkStart w:id="242" w:name="_Toc526343115"/>
      <w:r>
        <w:t>1.1.2</w:t>
      </w:r>
      <w:r>
        <w:tab/>
      </w:r>
      <w:r w:rsidRPr="00BC485A">
        <w:t>2002 New Zealand National Children’s Nutrition Survey (2002 NZ</w:t>
      </w:r>
      <w:r>
        <w:t xml:space="preserve"> C</w:t>
      </w:r>
      <w:r w:rsidRPr="00BC485A">
        <w:t>NS)</w:t>
      </w:r>
      <w:bookmarkEnd w:id="232"/>
      <w:bookmarkEnd w:id="233"/>
      <w:bookmarkEnd w:id="234"/>
      <w:bookmarkEnd w:id="235"/>
      <w:bookmarkEnd w:id="236"/>
      <w:bookmarkEnd w:id="237"/>
      <w:bookmarkEnd w:id="238"/>
      <w:bookmarkEnd w:id="239"/>
      <w:bookmarkEnd w:id="240"/>
      <w:bookmarkEnd w:id="241"/>
      <w:bookmarkEnd w:id="242"/>
    </w:p>
    <w:p w14:paraId="5E81A671" w14:textId="77777777" w:rsidR="00724574" w:rsidRPr="00BC485A" w:rsidRDefault="00724574" w:rsidP="00724574">
      <w:pPr>
        <w:autoSpaceDE w:val="0"/>
        <w:autoSpaceDN w:val="0"/>
        <w:adjustRightInd w:val="0"/>
      </w:pPr>
      <w:r w:rsidRPr="00BC485A">
        <w:t>The 2002 NZ</w:t>
      </w:r>
      <w:r>
        <w:t xml:space="preserve"> C</w:t>
      </w:r>
      <w:r w:rsidRPr="00BC485A">
        <w:t xml:space="preserve">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sidRPr="00BC485A">
        <w:rPr>
          <w:lang w:eastAsia="en-AU"/>
        </w:rPr>
        <w:t xml:space="preserve">Only the Day 1 24-hour recall data for all respondents (excluding supplements) were used for this assessment. </w:t>
      </w:r>
      <w:r w:rsidRPr="00BC485A">
        <w:t xml:space="preserve">These data were weighted </w:t>
      </w:r>
      <w:r>
        <w:t>during the calculations undertaken</w:t>
      </w:r>
      <w:r w:rsidRPr="00BC485A">
        <w:t xml:space="preserve"> in Harvest.</w:t>
      </w:r>
    </w:p>
    <w:p w14:paraId="2EDB1551" w14:textId="30A69A20" w:rsidR="00724574" w:rsidRPr="00444BC0" w:rsidRDefault="00724574" w:rsidP="004A36C3">
      <w:pPr>
        <w:pStyle w:val="Heading3"/>
        <w:rPr>
          <w:rFonts w:eastAsia="Calibri"/>
        </w:rPr>
      </w:pPr>
      <w:bookmarkStart w:id="243" w:name="_Toc434566821"/>
      <w:bookmarkStart w:id="244" w:name="_Toc508119314"/>
      <w:bookmarkStart w:id="245" w:name="_Toc516668859"/>
      <w:bookmarkStart w:id="246" w:name="_Toc517709912"/>
      <w:bookmarkStart w:id="247" w:name="_Toc518388312"/>
      <w:bookmarkStart w:id="248" w:name="_Toc518655010"/>
      <w:bookmarkStart w:id="249" w:name="_Toc522719013"/>
      <w:bookmarkStart w:id="250" w:name="_Toc522712051"/>
      <w:bookmarkStart w:id="251" w:name="_Toc523830687"/>
      <w:bookmarkStart w:id="252" w:name="_Toc526337857"/>
      <w:bookmarkStart w:id="253" w:name="_Toc526343116"/>
      <w:r>
        <w:rPr>
          <w:rFonts w:eastAsia="Calibri"/>
        </w:rPr>
        <w:t>1.1.3</w:t>
      </w:r>
      <w:r>
        <w:rPr>
          <w:rFonts w:eastAsia="Calibri"/>
        </w:rPr>
        <w:tab/>
      </w:r>
      <w:r w:rsidRPr="00444BC0">
        <w:rPr>
          <w:rFonts w:eastAsia="Calibri"/>
        </w:rPr>
        <w:t>2008-09 New Zealand Adult Nutrition Survey (2008 NZ ANS)</w:t>
      </w:r>
      <w:bookmarkEnd w:id="243"/>
      <w:bookmarkEnd w:id="244"/>
      <w:bookmarkEnd w:id="245"/>
      <w:bookmarkEnd w:id="246"/>
      <w:bookmarkEnd w:id="247"/>
      <w:bookmarkEnd w:id="248"/>
      <w:bookmarkEnd w:id="249"/>
      <w:bookmarkEnd w:id="250"/>
      <w:bookmarkEnd w:id="251"/>
      <w:bookmarkEnd w:id="252"/>
      <w:bookmarkEnd w:id="253"/>
    </w:p>
    <w:p w14:paraId="25CD9D38" w14:textId="77777777" w:rsidR="00724574" w:rsidRDefault="00724574" w:rsidP="00724574">
      <w:pPr>
        <w:rPr>
          <w:lang w:eastAsia="en-AU"/>
        </w:rPr>
      </w:pPr>
      <w:r w:rsidRPr="00BC485A">
        <w:rPr>
          <w:lang w:eastAsia="en-AU"/>
        </w:rPr>
        <w:t>The 2008 NZ</w:t>
      </w:r>
      <w:r>
        <w:rPr>
          <w:lang w:eastAsia="en-AU"/>
        </w:rPr>
        <w:t xml:space="preserve"> </w:t>
      </w:r>
      <w:r w:rsidRPr="00BC485A">
        <w:rPr>
          <w:lang w:eastAsia="en-AU"/>
        </w:rPr>
        <w:t xml:space="preserve">ANS provides comprehensive information on the dietary patterns of a sample of 4,721 respondents aged 15 years and above. The survey was conducted on a stratified sample over a 12-month period from October 2008 to October 2009. The survey used a </w:t>
      </w:r>
      <w:r>
        <w:rPr>
          <w:lang w:eastAsia="en-AU"/>
        </w:rPr>
        <w:t>24</w:t>
      </w:r>
      <w:r>
        <w:rPr>
          <w:lang w:eastAsia="en-AU"/>
        </w:rPr>
        <w:noBreakHyphen/>
        <w:t>h</w:t>
      </w:r>
      <w:r w:rsidRPr="00BC485A">
        <w:rPr>
          <w:lang w:eastAsia="en-AU"/>
        </w:rPr>
        <w:t>our recall methodology with 25% of respondents also completing a second 24-hour recall.</w:t>
      </w:r>
      <w:r w:rsidRPr="00BC485A">
        <w:t xml:space="preserve"> The information collected in the 2008 NZ</w:t>
      </w:r>
      <w:r>
        <w:t xml:space="preserve"> </w:t>
      </w:r>
      <w:r w:rsidRPr="00BC485A">
        <w:t xml:space="preserve">ANS included food and nutrient intakes, dietary supplement use, socio-demographics, nutrition related health, and anthropometric measures. </w:t>
      </w:r>
      <w:r w:rsidRPr="00BC485A">
        <w:rPr>
          <w:lang w:eastAsia="en-AU"/>
        </w:rPr>
        <w:t>Only the Day 1 24-hour recall data for all respondents</w:t>
      </w:r>
      <w:r>
        <w:rPr>
          <w:lang w:eastAsia="en-AU"/>
        </w:rPr>
        <w:t xml:space="preserve"> (excluding supplements)</w:t>
      </w:r>
      <w:r w:rsidRPr="00BC485A">
        <w:rPr>
          <w:lang w:eastAsia="en-AU"/>
        </w:rPr>
        <w:t xml:space="preserve"> were used for this assessment. These data were weighted </w:t>
      </w:r>
      <w:r>
        <w:rPr>
          <w:lang w:eastAsia="en-AU"/>
        </w:rPr>
        <w:t>during the calculations undertaken</w:t>
      </w:r>
      <w:r w:rsidRPr="00BC485A">
        <w:rPr>
          <w:lang w:eastAsia="en-AU"/>
        </w:rPr>
        <w:t xml:space="preserve"> in Harvest.</w:t>
      </w:r>
      <w:bookmarkStart w:id="254" w:name="_Toc360028639"/>
      <w:bookmarkEnd w:id="254"/>
    </w:p>
    <w:p w14:paraId="5C152A2F" w14:textId="64CC7BAF" w:rsidR="00724574" w:rsidRPr="00D9398F" w:rsidRDefault="0032539C" w:rsidP="0032539C">
      <w:pPr>
        <w:pStyle w:val="Heading2"/>
        <w:numPr>
          <w:ilvl w:val="0"/>
          <w:numId w:val="0"/>
        </w:numPr>
      </w:pPr>
      <w:bookmarkStart w:id="255" w:name="_Toc247509506"/>
      <w:bookmarkStart w:id="256" w:name="_Toc256582727"/>
      <w:bookmarkStart w:id="257" w:name="_Toc360028640"/>
      <w:bookmarkStart w:id="258" w:name="_Toc415041943"/>
      <w:bookmarkStart w:id="259" w:name="_Toc494292570"/>
      <w:bookmarkStart w:id="260" w:name="_Toc508119315"/>
      <w:bookmarkStart w:id="261" w:name="_Toc516668860"/>
      <w:bookmarkStart w:id="262" w:name="_Toc517709913"/>
      <w:bookmarkStart w:id="263" w:name="_Toc518388313"/>
      <w:bookmarkStart w:id="264" w:name="_Toc518655011"/>
      <w:bookmarkStart w:id="265" w:name="_Toc522719014"/>
      <w:bookmarkStart w:id="266" w:name="_Toc522712052"/>
      <w:bookmarkStart w:id="267" w:name="_Toc523830688"/>
      <w:bookmarkStart w:id="268" w:name="_Toc526337858"/>
      <w:bookmarkStart w:id="269" w:name="_Toc526343117"/>
      <w:r>
        <w:t xml:space="preserve">1.2 </w:t>
      </w:r>
      <w:r w:rsidR="00724574" w:rsidRPr="00D9398F">
        <w:t xml:space="preserve">Limitations of dietary </w:t>
      </w:r>
      <w:r w:rsidR="00724574" w:rsidRPr="00CF3931">
        <w:t>exposure</w:t>
      </w:r>
      <w:r w:rsidR="00724574" w:rsidRPr="00D9398F">
        <w:t xml:space="preserve"> assessments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30039CC" w14:textId="77777777" w:rsidR="00724574" w:rsidRDefault="00724574" w:rsidP="00724574">
      <w:r w:rsidRPr="00BC485A">
        <w:t>Dietary exposure assessments based on 2011</w:t>
      </w:r>
      <w:r>
        <w:t>-12</w:t>
      </w:r>
      <w:r w:rsidRPr="00BC485A">
        <w:t> NNPAS, 2002 NZ</w:t>
      </w:r>
      <w:r>
        <w:t xml:space="preserve"> C</w:t>
      </w:r>
      <w:r w:rsidRPr="00BC485A">
        <w:t>NS and 2008 NZ</w:t>
      </w:r>
      <w:r>
        <w:t xml:space="preserve"> </w:t>
      </w:r>
      <w:r w:rsidRPr="00BC485A">
        <w:t>ANS food consumption data provide the best estimation of actual consumption of a food and the resulting estimated dietary exposure assessment for t</w:t>
      </w:r>
      <w:r>
        <w:t>he Australian population aged 2 </w:t>
      </w:r>
      <w:r w:rsidRPr="00BC485A">
        <w:t>years and above, as well as the New Zealand populations aged 5–14 yea</w:t>
      </w:r>
      <w:r>
        <w:t>rs and 15 </w:t>
      </w:r>
      <w:r w:rsidRPr="00BC485A">
        <w:t xml:space="preserve">years and above, respectively. However, it should be noted that </w:t>
      </w:r>
      <w:r>
        <w:t>national nutrition survey</w:t>
      </w:r>
      <w:r w:rsidRPr="00BC485A">
        <w:t xml:space="preserve"> data do have limitations. Further details of the limitations relating to dietary exposure assessments undertaken by FSANZ are set out in the FSANZ document, </w:t>
      </w:r>
      <w:r w:rsidRPr="00BC485A">
        <w:rPr>
          <w:i/>
        </w:rPr>
        <w:t>Principles and Practices of Dietary Exposure Assessment for Food Regulatory Purposes</w:t>
      </w:r>
      <w:r w:rsidRPr="00BC485A">
        <w:t xml:space="preserve"> (FSANZ 2009)</w:t>
      </w:r>
      <w:r>
        <w:t>.</w:t>
      </w:r>
    </w:p>
    <w:p w14:paraId="2AB61017" w14:textId="77777777" w:rsidR="00724574" w:rsidRDefault="00724574" w:rsidP="00724574"/>
    <w:p w14:paraId="52C9B00F" w14:textId="77777777" w:rsidR="00724574" w:rsidRDefault="00724574" w:rsidP="00724574">
      <w:pPr>
        <w:pStyle w:val="CitaviBibliographyEntry"/>
        <w:sectPr w:rsidR="00724574" w:rsidSect="0032102D">
          <w:pgSz w:w="11906" w:h="16838"/>
          <w:pgMar w:top="1418" w:right="1418" w:bottom="1418" w:left="1418" w:header="709" w:footer="709" w:gutter="0"/>
          <w:cols w:space="708"/>
          <w:docGrid w:linePitch="360"/>
        </w:sectPr>
      </w:pPr>
    </w:p>
    <w:p w14:paraId="1E741C06" w14:textId="40BF36A5" w:rsidR="00724574" w:rsidRDefault="00D7081B" w:rsidP="0032539C">
      <w:pPr>
        <w:pStyle w:val="Heading1"/>
        <w:widowControl/>
        <w:numPr>
          <w:ilvl w:val="0"/>
          <w:numId w:val="0"/>
        </w:numPr>
        <w:spacing w:before="0"/>
        <w:ind w:left="432" w:hanging="432"/>
      </w:pPr>
      <w:bookmarkStart w:id="270" w:name="_Toc522719015"/>
      <w:bookmarkStart w:id="271" w:name="_Toc522712053"/>
      <w:bookmarkStart w:id="272" w:name="_Toc523830689"/>
      <w:bookmarkStart w:id="273" w:name="_Toc526337859"/>
      <w:bookmarkStart w:id="274" w:name="_Toc526343118"/>
      <w:r>
        <w:lastRenderedPageBreak/>
        <w:t>Appendix 2</w:t>
      </w:r>
      <w:r w:rsidR="00724574">
        <w:t xml:space="preserve"> Dietary Exposure Assessment Results</w:t>
      </w:r>
      <w:bookmarkEnd w:id="270"/>
      <w:bookmarkEnd w:id="271"/>
      <w:bookmarkEnd w:id="272"/>
      <w:bookmarkEnd w:id="273"/>
      <w:bookmarkEnd w:id="274"/>
    </w:p>
    <w:p w14:paraId="6763CD39" w14:textId="3FDFE1BF" w:rsidR="00724574" w:rsidRDefault="00724574" w:rsidP="004A36C3">
      <w:pPr>
        <w:pStyle w:val="142Tableheading1"/>
        <w:jc w:val="left"/>
      </w:pPr>
      <w:bookmarkStart w:id="275" w:name="_Toc522719016"/>
      <w:bookmarkStart w:id="276" w:name="_Toc522712054"/>
      <w:bookmarkStart w:id="277" w:name="_Toc523830690"/>
      <w:r w:rsidRPr="00E876CA">
        <w:t>Table 2.1</w:t>
      </w:r>
      <w:r w:rsidR="00140EF0">
        <w:t>.</w:t>
      </w:r>
      <w:r w:rsidRPr="00E876CA">
        <w:t xml:space="preserve"> Estimated</w:t>
      </w:r>
      <w:r w:rsidRPr="00DF5630">
        <w:t xml:space="preserve"> mean and P90 dietary exposure</w:t>
      </w:r>
      <w:r w:rsidRPr="00F535C3">
        <w:rPr>
          <w:color w:val="000000"/>
          <w:sz w:val="16"/>
          <w:szCs w:val="16"/>
          <w:lang w:eastAsia="en-GB"/>
        </w:rPr>
        <w:t xml:space="preserve"> </w:t>
      </w:r>
      <w:r w:rsidRPr="00F535C3">
        <w:rPr>
          <w:color w:val="000000"/>
          <w:sz w:val="16"/>
          <w:szCs w:val="16"/>
          <w:vertAlign w:val="superscript"/>
          <w:lang w:eastAsia="en-GB"/>
        </w:rPr>
        <w:t xml:space="preserve">β </w:t>
      </w:r>
      <w:r w:rsidRPr="00DF5630">
        <w:t>to steviol glycosides</w:t>
      </w:r>
      <w:r w:rsidR="005E4EBC">
        <w:t>, expressed as steviol equivalents,</w:t>
      </w:r>
      <w:r w:rsidRPr="00DF5630">
        <w:t xml:space="preserve"> for Australia and New Zealand</w:t>
      </w:r>
      <w:bookmarkEnd w:id="275"/>
      <w:bookmarkEnd w:id="276"/>
      <w:bookmarkEnd w:id="277"/>
    </w:p>
    <w:tbl>
      <w:tblPr>
        <w:tblW w:w="15388" w:type="dxa"/>
        <w:tblLayout w:type="fixed"/>
        <w:tblLook w:val="04A0" w:firstRow="1" w:lastRow="0" w:firstColumn="1" w:lastColumn="0" w:noHBand="0" w:noVBand="1"/>
        <w:tblDescription w:val="Results of the steviol glycoside dietary exposure assessment at the mean and 90th percentile of intake for Australian and New Zealand population groups"/>
      </w:tblPr>
      <w:tblGrid>
        <w:gridCol w:w="1129"/>
        <w:gridCol w:w="993"/>
        <w:gridCol w:w="1417"/>
        <w:gridCol w:w="1559"/>
        <w:gridCol w:w="567"/>
        <w:gridCol w:w="674"/>
        <w:gridCol w:w="857"/>
        <w:gridCol w:w="910"/>
        <w:gridCol w:w="857"/>
        <w:gridCol w:w="910"/>
        <w:gridCol w:w="857"/>
        <w:gridCol w:w="910"/>
        <w:gridCol w:w="952"/>
        <w:gridCol w:w="910"/>
        <w:gridCol w:w="936"/>
        <w:gridCol w:w="950"/>
      </w:tblGrid>
      <w:tr w:rsidR="007378FB" w:rsidRPr="0083289D" w14:paraId="46F96ABD" w14:textId="77777777" w:rsidTr="0083289D">
        <w:trPr>
          <w:trHeight w:val="358"/>
        </w:trPr>
        <w:tc>
          <w:tcPr>
            <w:tcW w:w="3539" w:type="dxa"/>
            <w:gridSpan w:val="3"/>
            <w:tcBorders>
              <w:top w:val="single" w:sz="4" w:space="0" w:color="auto"/>
              <w:left w:val="single" w:sz="4" w:space="0" w:color="auto"/>
              <w:bottom w:val="single" w:sz="4" w:space="0" w:color="auto"/>
            </w:tcBorders>
            <w:shd w:val="clear" w:color="auto" w:fill="auto"/>
            <w:vAlign w:val="bottom"/>
            <w:hideMark/>
          </w:tcPr>
          <w:p w14:paraId="7AC4E2A3" w14:textId="6D2F396D" w:rsidR="00754A61" w:rsidRPr="0083289D" w:rsidRDefault="00754A61" w:rsidP="00754A61">
            <w:pPr>
              <w:jc w:val="center"/>
              <w:rPr>
                <w:rFonts w:cs="Arial"/>
                <w:b/>
                <w:bCs/>
                <w:color w:val="000000"/>
                <w:lang w:eastAsia="en-GB"/>
              </w:rPr>
            </w:pPr>
            <w:r w:rsidRPr="0083289D">
              <w:rPr>
                <w:rFonts w:cs="Arial"/>
                <w:b/>
                <w:bCs/>
                <w:color w:val="000000"/>
                <w:lang w:eastAsia="en-GB"/>
              </w:rPr>
              <w:t> </w:t>
            </w:r>
          </w:p>
        </w:tc>
        <w:tc>
          <w:tcPr>
            <w:tcW w:w="1559" w:type="dxa"/>
            <w:tcBorders>
              <w:top w:val="single" w:sz="4" w:space="0" w:color="auto"/>
              <w:bottom w:val="single" w:sz="4" w:space="0" w:color="auto"/>
              <w:right w:val="single" w:sz="4" w:space="0" w:color="auto"/>
            </w:tcBorders>
            <w:shd w:val="clear" w:color="auto" w:fill="auto"/>
            <w:vAlign w:val="bottom"/>
            <w:hideMark/>
          </w:tcPr>
          <w:p w14:paraId="6E378CBC" w14:textId="77777777" w:rsidR="00754A61" w:rsidRPr="0083289D" w:rsidRDefault="00754A61" w:rsidP="00754A61">
            <w:pPr>
              <w:jc w:val="center"/>
              <w:rPr>
                <w:rFonts w:cs="Arial"/>
                <w:b/>
                <w:bCs/>
                <w:color w:val="000000"/>
                <w:lang w:eastAsia="en-GB"/>
              </w:rPr>
            </w:pPr>
            <w:r w:rsidRPr="0083289D">
              <w:rPr>
                <w:rFonts w:cs="Arial"/>
                <w:b/>
                <w:bCs/>
                <w:color w:val="000000"/>
                <w:lang w:eastAsia="en-GB"/>
              </w:rPr>
              <w:t> </w:t>
            </w:r>
          </w:p>
        </w:tc>
        <w:tc>
          <w:tcPr>
            <w:tcW w:w="3008" w:type="dxa"/>
            <w:gridSpan w:val="4"/>
            <w:tcBorders>
              <w:top w:val="single" w:sz="4" w:space="0" w:color="auto"/>
              <w:bottom w:val="single" w:sz="4" w:space="0" w:color="auto"/>
              <w:right w:val="single" w:sz="4" w:space="0" w:color="auto"/>
            </w:tcBorders>
            <w:vAlign w:val="bottom"/>
          </w:tcPr>
          <w:p w14:paraId="6DF689CD" w14:textId="77F31E73" w:rsidR="00754A61" w:rsidRPr="0083289D" w:rsidRDefault="00754A61" w:rsidP="00754A61">
            <w:pPr>
              <w:jc w:val="center"/>
              <w:rPr>
                <w:rFonts w:cs="Arial"/>
                <w:b/>
                <w:bCs/>
                <w:color w:val="000000"/>
                <w:lang w:eastAsia="en-GB"/>
              </w:rPr>
            </w:pPr>
            <w:r w:rsidRPr="0083289D">
              <w:rPr>
                <w:rFonts w:cs="Arial"/>
                <w:b/>
                <w:bCs/>
                <w:color w:val="000000"/>
                <w:lang w:eastAsia="en-GB"/>
              </w:rPr>
              <w:t>Baseline Exposure</w:t>
            </w:r>
            <w:r w:rsidRPr="0083289D">
              <w:rPr>
                <w:rFonts w:cs="Arial"/>
                <w:b/>
                <w:bCs/>
                <w:color w:val="000000"/>
                <w:vertAlign w:val="superscript"/>
                <w:lang w:eastAsia="en-GB"/>
              </w:rPr>
              <w:t>∩</w:t>
            </w:r>
          </w:p>
        </w:tc>
        <w:tc>
          <w:tcPr>
            <w:tcW w:w="35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FC82" w14:textId="6A0D3473" w:rsidR="00754A61" w:rsidRPr="0083289D" w:rsidRDefault="00754A61" w:rsidP="00474B70">
            <w:pPr>
              <w:jc w:val="center"/>
              <w:rPr>
                <w:rFonts w:cs="Arial"/>
                <w:b/>
                <w:bCs/>
                <w:color w:val="000000"/>
                <w:lang w:eastAsia="en-GB"/>
              </w:rPr>
            </w:pPr>
            <w:r w:rsidRPr="0083289D">
              <w:rPr>
                <w:rFonts w:cs="Arial"/>
                <w:b/>
                <w:bCs/>
                <w:color w:val="000000"/>
                <w:lang w:eastAsia="en-GB"/>
              </w:rPr>
              <w:t>Refined Baseline</w:t>
            </w:r>
            <w:r w:rsidR="00474B70" w:rsidRPr="0083289D">
              <w:rPr>
                <w:rFonts w:cs="Arial"/>
                <w:b/>
                <w:bCs/>
                <w:color w:val="000000"/>
                <w:vertAlign w:val="superscript"/>
                <w:lang w:eastAsia="en-GB"/>
              </w:rPr>
              <w:t>∫</w:t>
            </w:r>
          </w:p>
        </w:tc>
        <w:tc>
          <w:tcPr>
            <w:tcW w:w="3748"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C9FCF1" w14:textId="405021C3" w:rsidR="00754A61" w:rsidRPr="0083289D" w:rsidRDefault="00754A61" w:rsidP="00754A61">
            <w:pPr>
              <w:jc w:val="center"/>
              <w:rPr>
                <w:rFonts w:cs="Arial"/>
                <w:b/>
                <w:bCs/>
                <w:color w:val="000000"/>
                <w:lang w:eastAsia="en-GB"/>
              </w:rPr>
            </w:pPr>
            <w:r w:rsidRPr="0083289D">
              <w:rPr>
                <w:rFonts w:cs="Arial"/>
                <w:b/>
                <w:bCs/>
                <w:color w:val="000000"/>
                <w:lang w:eastAsia="en-GB"/>
              </w:rPr>
              <w:t>Refined extension of use Exposure</w:t>
            </w:r>
          </w:p>
        </w:tc>
      </w:tr>
      <w:tr w:rsidR="0083289D" w:rsidRPr="0083289D" w14:paraId="4C5BCE30" w14:textId="77777777" w:rsidTr="0083289D">
        <w:trPr>
          <w:trHeight w:val="436"/>
        </w:trPr>
        <w:tc>
          <w:tcPr>
            <w:tcW w:w="1129" w:type="dxa"/>
            <w:tcBorders>
              <w:top w:val="single" w:sz="4" w:space="0" w:color="auto"/>
              <w:left w:val="single" w:sz="4" w:space="0" w:color="auto"/>
              <w:bottom w:val="single" w:sz="4" w:space="0" w:color="auto"/>
              <w:right w:val="single" w:sz="4" w:space="0" w:color="auto"/>
            </w:tcBorders>
            <w:shd w:val="clear" w:color="000000" w:fill="31869B"/>
            <w:vAlign w:val="bottom"/>
            <w:hideMark/>
          </w:tcPr>
          <w:p w14:paraId="6980AF8C" w14:textId="77777777"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Country</w:t>
            </w:r>
          </w:p>
        </w:tc>
        <w:tc>
          <w:tcPr>
            <w:tcW w:w="993" w:type="dxa"/>
            <w:tcBorders>
              <w:top w:val="single" w:sz="4" w:space="0" w:color="auto"/>
              <w:left w:val="nil"/>
              <w:bottom w:val="single" w:sz="4" w:space="0" w:color="auto"/>
              <w:right w:val="single" w:sz="4" w:space="0" w:color="auto"/>
            </w:tcBorders>
            <w:shd w:val="clear" w:color="000000" w:fill="31869B"/>
            <w:vAlign w:val="bottom"/>
            <w:hideMark/>
          </w:tcPr>
          <w:p w14:paraId="08DB745D" w14:textId="77777777"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Age group (years)</w:t>
            </w:r>
          </w:p>
        </w:tc>
        <w:tc>
          <w:tcPr>
            <w:tcW w:w="1417" w:type="dxa"/>
            <w:tcBorders>
              <w:top w:val="single" w:sz="4" w:space="0" w:color="auto"/>
              <w:left w:val="nil"/>
              <w:bottom w:val="single" w:sz="4" w:space="0" w:color="auto"/>
              <w:right w:val="single" w:sz="4" w:space="0" w:color="auto"/>
            </w:tcBorders>
            <w:shd w:val="clear" w:color="000000" w:fill="31869B"/>
            <w:vAlign w:val="bottom"/>
            <w:hideMark/>
          </w:tcPr>
          <w:p w14:paraId="660BD9D7" w14:textId="7FC20253"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rPr>
              <w:t>Survey respondents (n)</w:t>
            </w:r>
          </w:p>
        </w:tc>
        <w:tc>
          <w:tcPr>
            <w:tcW w:w="1559" w:type="dxa"/>
            <w:tcBorders>
              <w:top w:val="single" w:sz="4" w:space="0" w:color="auto"/>
              <w:left w:val="single" w:sz="4" w:space="0" w:color="auto"/>
              <w:bottom w:val="single" w:sz="4" w:space="0" w:color="auto"/>
              <w:right w:val="single" w:sz="4" w:space="0" w:color="auto"/>
            </w:tcBorders>
            <w:shd w:val="clear" w:color="000000" w:fill="31869B"/>
            <w:vAlign w:val="bottom"/>
            <w:hideMark/>
          </w:tcPr>
          <w:p w14:paraId="6FB106F0" w14:textId="02E6EB42"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rPr>
              <w:t xml:space="preserve">consumers to respondants </w:t>
            </w:r>
            <w:r w:rsidR="005E4EBC">
              <w:rPr>
                <w:rFonts w:cs="Arial"/>
                <w:b/>
                <w:bCs/>
                <w:color w:val="000000"/>
                <w:sz w:val="20"/>
                <w:szCs w:val="20"/>
              </w:rPr>
              <w:t>ratio</w:t>
            </w:r>
            <w:r w:rsidRPr="0083289D">
              <w:rPr>
                <w:rFonts w:cs="Arial"/>
                <w:b/>
                <w:bCs/>
                <w:color w:val="000000"/>
                <w:sz w:val="20"/>
                <w:szCs w:val="20"/>
              </w:rPr>
              <w:t>(%)</w:t>
            </w:r>
          </w:p>
        </w:tc>
        <w:tc>
          <w:tcPr>
            <w:tcW w:w="1241" w:type="dxa"/>
            <w:gridSpan w:val="2"/>
            <w:tcBorders>
              <w:top w:val="nil"/>
              <w:left w:val="single" w:sz="4" w:space="0" w:color="auto"/>
              <w:bottom w:val="single" w:sz="4" w:space="0" w:color="auto"/>
              <w:right w:val="single" w:sz="4" w:space="0" w:color="auto"/>
            </w:tcBorders>
            <w:shd w:val="clear" w:color="000000" w:fill="31869B"/>
            <w:vAlign w:val="bottom"/>
          </w:tcPr>
          <w:p w14:paraId="3E5285FA" w14:textId="5EBDA15B"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Mean</w:t>
            </w:r>
          </w:p>
        </w:tc>
        <w:tc>
          <w:tcPr>
            <w:tcW w:w="1767" w:type="dxa"/>
            <w:gridSpan w:val="2"/>
            <w:tcBorders>
              <w:top w:val="nil"/>
              <w:left w:val="single" w:sz="4" w:space="0" w:color="auto"/>
              <w:bottom w:val="single" w:sz="4" w:space="0" w:color="auto"/>
              <w:right w:val="single" w:sz="4" w:space="0" w:color="auto"/>
            </w:tcBorders>
            <w:shd w:val="clear" w:color="000000" w:fill="31869B"/>
            <w:vAlign w:val="bottom"/>
          </w:tcPr>
          <w:p w14:paraId="5934A68F" w14:textId="2BE40836"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90th percentile</w:t>
            </w:r>
          </w:p>
        </w:tc>
        <w:tc>
          <w:tcPr>
            <w:tcW w:w="1767" w:type="dxa"/>
            <w:gridSpan w:val="2"/>
            <w:tcBorders>
              <w:top w:val="nil"/>
              <w:left w:val="single" w:sz="4" w:space="0" w:color="auto"/>
              <w:bottom w:val="single" w:sz="4" w:space="0" w:color="auto"/>
              <w:right w:val="single" w:sz="8" w:space="0" w:color="000000"/>
            </w:tcBorders>
            <w:shd w:val="clear" w:color="000000" w:fill="31869B"/>
            <w:vAlign w:val="bottom"/>
            <w:hideMark/>
          </w:tcPr>
          <w:p w14:paraId="75640C5C" w14:textId="447F0D79"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Mean</w:t>
            </w:r>
          </w:p>
        </w:tc>
        <w:tc>
          <w:tcPr>
            <w:tcW w:w="1767" w:type="dxa"/>
            <w:gridSpan w:val="2"/>
            <w:tcBorders>
              <w:top w:val="nil"/>
              <w:left w:val="nil"/>
              <w:bottom w:val="single" w:sz="4" w:space="0" w:color="auto"/>
              <w:right w:val="single" w:sz="8" w:space="0" w:color="000000"/>
            </w:tcBorders>
            <w:shd w:val="clear" w:color="000000" w:fill="31869B"/>
            <w:vAlign w:val="bottom"/>
            <w:hideMark/>
          </w:tcPr>
          <w:p w14:paraId="1A3B2A46" w14:textId="77777777"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90th percentile</w:t>
            </w:r>
          </w:p>
        </w:tc>
        <w:tc>
          <w:tcPr>
            <w:tcW w:w="1862" w:type="dxa"/>
            <w:gridSpan w:val="2"/>
            <w:tcBorders>
              <w:top w:val="nil"/>
              <w:left w:val="nil"/>
              <w:bottom w:val="single" w:sz="4" w:space="0" w:color="auto"/>
              <w:right w:val="single" w:sz="8" w:space="0" w:color="000000"/>
            </w:tcBorders>
            <w:shd w:val="clear" w:color="000000" w:fill="31869B"/>
            <w:vAlign w:val="bottom"/>
            <w:hideMark/>
          </w:tcPr>
          <w:p w14:paraId="6AD174DA" w14:textId="77777777"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Mean</w:t>
            </w:r>
          </w:p>
        </w:tc>
        <w:tc>
          <w:tcPr>
            <w:tcW w:w="1886" w:type="dxa"/>
            <w:gridSpan w:val="2"/>
            <w:tcBorders>
              <w:top w:val="nil"/>
              <w:left w:val="nil"/>
              <w:bottom w:val="single" w:sz="4" w:space="0" w:color="auto"/>
              <w:right w:val="single" w:sz="8" w:space="0" w:color="000000"/>
            </w:tcBorders>
            <w:shd w:val="clear" w:color="000000" w:fill="31869B"/>
            <w:vAlign w:val="bottom"/>
            <w:hideMark/>
          </w:tcPr>
          <w:p w14:paraId="007CBC98" w14:textId="77777777" w:rsidR="007378FB" w:rsidRPr="0083289D" w:rsidRDefault="007378FB" w:rsidP="007378FB">
            <w:pPr>
              <w:jc w:val="center"/>
              <w:rPr>
                <w:rFonts w:cs="Arial"/>
                <w:b/>
                <w:bCs/>
                <w:color w:val="000000"/>
                <w:sz w:val="20"/>
                <w:szCs w:val="20"/>
                <w:lang w:eastAsia="en-GB"/>
              </w:rPr>
            </w:pPr>
            <w:r w:rsidRPr="0083289D">
              <w:rPr>
                <w:rFonts w:cs="Arial"/>
                <w:b/>
                <w:bCs/>
                <w:color w:val="000000"/>
                <w:sz w:val="20"/>
                <w:szCs w:val="20"/>
                <w:lang w:eastAsia="en-GB"/>
              </w:rPr>
              <w:t>90th percentile</w:t>
            </w:r>
          </w:p>
        </w:tc>
      </w:tr>
      <w:tr w:rsidR="0083289D" w:rsidRPr="0083289D" w14:paraId="66DC7C03" w14:textId="77777777" w:rsidTr="0083289D">
        <w:trPr>
          <w:trHeight w:val="436"/>
        </w:trPr>
        <w:tc>
          <w:tcPr>
            <w:tcW w:w="1129" w:type="dxa"/>
            <w:tcBorders>
              <w:top w:val="single" w:sz="4" w:space="0" w:color="auto"/>
              <w:left w:val="single" w:sz="4" w:space="0" w:color="auto"/>
              <w:bottom w:val="single" w:sz="4" w:space="0" w:color="auto"/>
            </w:tcBorders>
            <w:shd w:val="clear" w:color="auto" w:fill="auto"/>
            <w:noWrap/>
            <w:vAlign w:val="bottom"/>
            <w:hideMark/>
          </w:tcPr>
          <w:p w14:paraId="7901DF67" w14:textId="77777777" w:rsidR="00754A61" w:rsidRPr="0083289D" w:rsidRDefault="00754A61" w:rsidP="00754A61">
            <w:pPr>
              <w:rPr>
                <w:rFonts w:cs="Arial"/>
                <w:color w:val="000000"/>
                <w:sz w:val="20"/>
                <w:szCs w:val="20"/>
                <w:lang w:eastAsia="en-GB"/>
              </w:rPr>
            </w:pPr>
            <w:r w:rsidRPr="0083289D">
              <w:rPr>
                <w:rFonts w:cs="Arial"/>
                <w:color w:val="000000"/>
                <w:sz w:val="20"/>
                <w:szCs w:val="20"/>
                <w:lang w:eastAsia="en-GB"/>
              </w:rPr>
              <w:t> </w:t>
            </w:r>
          </w:p>
        </w:tc>
        <w:tc>
          <w:tcPr>
            <w:tcW w:w="993" w:type="dxa"/>
            <w:tcBorders>
              <w:top w:val="single" w:sz="4" w:space="0" w:color="auto"/>
              <w:bottom w:val="single" w:sz="4" w:space="0" w:color="auto"/>
            </w:tcBorders>
            <w:shd w:val="clear" w:color="auto" w:fill="auto"/>
            <w:noWrap/>
            <w:vAlign w:val="bottom"/>
            <w:hideMark/>
          </w:tcPr>
          <w:p w14:paraId="57E46129" w14:textId="77777777" w:rsidR="00754A61" w:rsidRPr="0083289D" w:rsidRDefault="00754A61" w:rsidP="00754A61">
            <w:pPr>
              <w:rPr>
                <w:rFonts w:cs="Arial"/>
                <w:color w:val="000000"/>
                <w:sz w:val="20"/>
                <w:szCs w:val="20"/>
                <w:lang w:eastAsia="en-GB"/>
              </w:rPr>
            </w:pPr>
            <w:r w:rsidRPr="0083289D">
              <w:rPr>
                <w:rFonts w:cs="Arial"/>
                <w:color w:val="000000"/>
                <w:sz w:val="20"/>
                <w:szCs w:val="20"/>
                <w:lang w:eastAsia="en-GB"/>
              </w:rPr>
              <w:t> </w:t>
            </w:r>
          </w:p>
        </w:tc>
        <w:tc>
          <w:tcPr>
            <w:tcW w:w="1417" w:type="dxa"/>
            <w:tcBorders>
              <w:top w:val="single" w:sz="4" w:space="0" w:color="auto"/>
              <w:bottom w:val="single" w:sz="4" w:space="0" w:color="auto"/>
            </w:tcBorders>
            <w:shd w:val="clear" w:color="auto" w:fill="auto"/>
            <w:noWrap/>
            <w:vAlign w:val="bottom"/>
          </w:tcPr>
          <w:p w14:paraId="6F704DB7" w14:textId="2289BA15" w:rsidR="00754A61" w:rsidRPr="0083289D" w:rsidRDefault="00754A61" w:rsidP="00754A61">
            <w:pPr>
              <w:rPr>
                <w:rFonts w:cs="Arial"/>
                <w:color w:val="000000"/>
                <w:sz w:val="20"/>
                <w:szCs w:val="20"/>
                <w:lang w:eastAsia="en-GB"/>
              </w:rPr>
            </w:pPr>
          </w:p>
        </w:tc>
        <w:tc>
          <w:tcPr>
            <w:tcW w:w="1559" w:type="dxa"/>
            <w:tcBorders>
              <w:top w:val="single" w:sz="4" w:space="0" w:color="auto"/>
              <w:bottom w:val="single" w:sz="4" w:space="0" w:color="auto"/>
              <w:right w:val="single" w:sz="4" w:space="0" w:color="auto"/>
            </w:tcBorders>
            <w:shd w:val="clear" w:color="auto" w:fill="auto"/>
            <w:noWrap/>
            <w:vAlign w:val="bottom"/>
          </w:tcPr>
          <w:p w14:paraId="42624DEE" w14:textId="3C4AF444" w:rsidR="00754A61" w:rsidRPr="0083289D" w:rsidRDefault="00754A61" w:rsidP="00754A61">
            <w:pPr>
              <w:rPr>
                <w:rFonts w:cs="Arial"/>
                <w:color w:val="000000"/>
                <w:sz w:val="20"/>
                <w:szCs w:val="20"/>
                <w:lang w:eastAsia="en-GB"/>
              </w:rPr>
            </w:pPr>
          </w:p>
        </w:tc>
        <w:tc>
          <w:tcPr>
            <w:tcW w:w="567" w:type="dxa"/>
            <w:tcBorders>
              <w:top w:val="nil"/>
              <w:bottom w:val="single" w:sz="4" w:space="0" w:color="auto"/>
              <w:right w:val="single" w:sz="4" w:space="0" w:color="auto"/>
            </w:tcBorders>
            <w:vAlign w:val="bottom"/>
          </w:tcPr>
          <w:p w14:paraId="4DF23827" w14:textId="34EBD49F" w:rsidR="00754A61" w:rsidRPr="0083289D" w:rsidRDefault="007378FB" w:rsidP="00754A61">
            <w:pPr>
              <w:jc w:val="center"/>
              <w:rPr>
                <w:rFonts w:cs="Arial"/>
                <w:b/>
                <w:bCs/>
                <w:color w:val="000000"/>
                <w:sz w:val="20"/>
                <w:szCs w:val="20"/>
                <w:lang w:eastAsia="en-GB"/>
              </w:rPr>
            </w:pPr>
            <w:r w:rsidRPr="0083289D">
              <w:rPr>
                <w:rFonts w:cs="Arial"/>
                <w:b/>
                <w:bCs/>
                <w:color w:val="000000"/>
                <w:sz w:val="20"/>
                <w:szCs w:val="20"/>
                <w:lang w:eastAsia="en-GB"/>
              </w:rPr>
              <w:t>mg/kg bw/day</w:t>
            </w:r>
          </w:p>
        </w:tc>
        <w:tc>
          <w:tcPr>
            <w:tcW w:w="674" w:type="dxa"/>
            <w:tcBorders>
              <w:top w:val="nil"/>
              <w:bottom w:val="single" w:sz="4" w:space="0" w:color="auto"/>
              <w:right w:val="single" w:sz="4" w:space="0" w:color="auto"/>
            </w:tcBorders>
            <w:vAlign w:val="bottom"/>
          </w:tcPr>
          <w:p w14:paraId="606107D5" w14:textId="035EA3D3"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Percent of ADI (%)</w:t>
            </w:r>
          </w:p>
        </w:tc>
        <w:tc>
          <w:tcPr>
            <w:tcW w:w="857" w:type="dxa"/>
            <w:tcBorders>
              <w:top w:val="nil"/>
              <w:bottom w:val="single" w:sz="4" w:space="0" w:color="auto"/>
              <w:right w:val="single" w:sz="4" w:space="0" w:color="auto"/>
            </w:tcBorders>
            <w:vAlign w:val="bottom"/>
          </w:tcPr>
          <w:p w14:paraId="05766427" w14:textId="60BF8CF3"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mg/kg bw/day</w:t>
            </w:r>
          </w:p>
        </w:tc>
        <w:tc>
          <w:tcPr>
            <w:tcW w:w="910" w:type="dxa"/>
            <w:tcBorders>
              <w:top w:val="nil"/>
              <w:bottom w:val="single" w:sz="4" w:space="0" w:color="auto"/>
              <w:right w:val="single" w:sz="4" w:space="0" w:color="auto"/>
            </w:tcBorders>
            <w:vAlign w:val="bottom"/>
          </w:tcPr>
          <w:p w14:paraId="5D3A2522" w14:textId="2F8F2211"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Percent of ADI (%)</w:t>
            </w:r>
          </w:p>
        </w:tc>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50548564" w14:textId="14290A7C" w:rsidR="00754A61" w:rsidRPr="0083289D" w:rsidRDefault="007378FB" w:rsidP="00754A61">
            <w:pPr>
              <w:jc w:val="center"/>
              <w:rPr>
                <w:rFonts w:cs="Arial"/>
                <w:b/>
                <w:bCs/>
                <w:color w:val="000000"/>
                <w:sz w:val="20"/>
                <w:szCs w:val="20"/>
                <w:lang w:eastAsia="en-GB"/>
              </w:rPr>
            </w:pPr>
            <w:r w:rsidRPr="0083289D">
              <w:rPr>
                <w:rFonts w:cs="Arial"/>
                <w:b/>
                <w:bCs/>
                <w:color w:val="000000"/>
                <w:sz w:val="20"/>
                <w:szCs w:val="20"/>
                <w:lang w:eastAsia="en-GB"/>
              </w:rPr>
              <w:t>mg/kg bw/day</w:t>
            </w:r>
          </w:p>
        </w:tc>
        <w:tc>
          <w:tcPr>
            <w:tcW w:w="910" w:type="dxa"/>
            <w:tcBorders>
              <w:top w:val="nil"/>
              <w:left w:val="nil"/>
              <w:bottom w:val="single" w:sz="4" w:space="0" w:color="auto"/>
              <w:right w:val="single" w:sz="8" w:space="0" w:color="auto"/>
            </w:tcBorders>
            <w:shd w:val="clear" w:color="auto" w:fill="auto"/>
            <w:noWrap/>
            <w:vAlign w:val="bottom"/>
            <w:hideMark/>
          </w:tcPr>
          <w:p w14:paraId="558E36AD"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Percent of ADI (%)</w:t>
            </w:r>
          </w:p>
        </w:tc>
        <w:tc>
          <w:tcPr>
            <w:tcW w:w="857" w:type="dxa"/>
            <w:tcBorders>
              <w:top w:val="nil"/>
              <w:left w:val="nil"/>
              <w:bottom w:val="single" w:sz="4" w:space="0" w:color="auto"/>
              <w:right w:val="single" w:sz="4" w:space="0" w:color="auto"/>
            </w:tcBorders>
            <w:shd w:val="clear" w:color="auto" w:fill="auto"/>
            <w:noWrap/>
            <w:vAlign w:val="bottom"/>
            <w:hideMark/>
          </w:tcPr>
          <w:p w14:paraId="4BD47386"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mg/kg bw/day</w:t>
            </w:r>
          </w:p>
        </w:tc>
        <w:tc>
          <w:tcPr>
            <w:tcW w:w="910" w:type="dxa"/>
            <w:tcBorders>
              <w:top w:val="nil"/>
              <w:left w:val="nil"/>
              <w:bottom w:val="single" w:sz="4" w:space="0" w:color="auto"/>
              <w:right w:val="single" w:sz="8" w:space="0" w:color="auto"/>
            </w:tcBorders>
            <w:shd w:val="clear" w:color="auto" w:fill="auto"/>
            <w:noWrap/>
            <w:vAlign w:val="bottom"/>
            <w:hideMark/>
          </w:tcPr>
          <w:p w14:paraId="3060AC01"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Percent of ADI (%)</w:t>
            </w:r>
          </w:p>
        </w:tc>
        <w:tc>
          <w:tcPr>
            <w:tcW w:w="952" w:type="dxa"/>
            <w:tcBorders>
              <w:top w:val="nil"/>
              <w:left w:val="nil"/>
              <w:bottom w:val="single" w:sz="4" w:space="0" w:color="auto"/>
              <w:right w:val="single" w:sz="4" w:space="0" w:color="auto"/>
            </w:tcBorders>
            <w:shd w:val="clear" w:color="auto" w:fill="auto"/>
            <w:noWrap/>
            <w:vAlign w:val="bottom"/>
            <w:hideMark/>
          </w:tcPr>
          <w:p w14:paraId="07B3716B"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mg/kg bw/day</w:t>
            </w:r>
          </w:p>
        </w:tc>
        <w:tc>
          <w:tcPr>
            <w:tcW w:w="910" w:type="dxa"/>
            <w:tcBorders>
              <w:top w:val="nil"/>
              <w:left w:val="nil"/>
              <w:bottom w:val="single" w:sz="4" w:space="0" w:color="auto"/>
              <w:right w:val="single" w:sz="8" w:space="0" w:color="auto"/>
            </w:tcBorders>
            <w:shd w:val="clear" w:color="auto" w:fill="auto"/>
            <w:noWrap/>
            <w:vAlign w:val="bottom"/>
            <w:hideMark/>
          </w:tcPr>
          <w:p w14:paraId="0A12BB30"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Percent of ADI (%)</w:t>
            </w:r>
          </w:p>
        </w:tc>
        <w:tc>
          <w:tcPr>
            <w:tcW w:w="936" w:type="dxa"/>
            <w:tcBorders>
              <w:top w:val="nil"/>
              <w:left w:val="nil"/>
              <w:bottom w:val="single" w:sz="4" w:space="0" w:color="auto"/>
              <w:right w:val="single" w:sz="4" w:space="0" w:color="auto"/>
            </w:tcBorders>
            <w:shd w:val="clear" w:color="auto" w:fill="auto"/>
            <w:noWrap/>
            <w:vAlign w:val="bottom"/>
            <w:hideMark/>
          </w:tcPr>
          <w:p w14:paraId="0BA3E573"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mg/kg bw/day</w:t>
            </w:r>
          </w:p>
        </w:tc>
        <w:tc>
          <w:tcPr>
            <w:tcW w:w="950" w:type="dxa"/>
            <w:tcBorders>
              <w:top w:val="nil"/>
              <w:left w:val="nil"/>
              <w:bottom w:val="single" w:sz="4" w:space="0" w:color="auto"/>
              <w:right w:val="single" w:sz="8" w:space="0" w:color="auto"/>
            </w:tcBorders>
            <w:shd w:val="clear" w:color="auto" w:fill="auto"/>
            <w:noWrap/>
            <w:vAlign w:val="bottom"/>
            <w:hideMark/>
          </w:tcPr>
          <w:p w14:paraId="29A62B6B"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Percent of ADI (%)</w:t>
            </w:r>
          </w:p>
        </w:tc>
      </w:tr>
      <w:tr w:rsidR="0083289D" w:rsidRPr="0083289D" w14:paraId="0EA284B0" w14:textId="77777777" w:rsidTr="0083289D">
        <w:trPr>
          <w:trHeight w:val="486"/>
        </w:trPr>
        <w:tc>
          <w:tcPr>
            <w:tcW w:w="1129" w:type="dxa"/>
            <w:tcBorders>
              <w:left w:val="single" w:sz="4" w:space="0" w:color="auto"/>
              <w:bottom w:val="single" w:sz="4" w:space="0" w:color="000000"/>
              <w:right w:val="single" w:sz="4" w:space="0" w:color="auto"/>
            </w:tcBorders>
            <w:shd w:val="clear" w:color="auto" w:fill="auto"/>
            <w:vAlign w:val="center"/>
            <w:hideMark/>
          </w:tcPr>
          <w:p w14:paraId="569187FE" w14:textId="60E0065C"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Australia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81AFC3C" w14:textId="5E0F5255"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2+</w:t>
            </w:r>
            <w:r w:rsidRPr="0083289D">
              <w:rPr>
                <w:rFonts w:cs="Arial"/>
                <w:color w:val="000000"/>
                <w:sz w:val="20"/>
                <w:szCs w:val="20"/>
                <w:vertAlign w:val="superscript"/>
                <w:lang w:eastAsia="en-GB"/>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4B3EEC" w14:textId="1E22E8D5"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7735</w:t>
            </w:r>
          </w:p>
        </w:tc>
        <w:tc>
          <w:tcPr>
            <w:tcW w:w="1559" w:type="dxa"/>
            <w:tcBorders>
              <w:top w:val="single" w:sz="4" w:space="0" w:color="auto"/>
              <w:left w:val="nil"/>
              <w:bottom w:val="single" w:sz="4" w:space="0" w:color="auto"/>
              <w:right w:val="nil"/>
            </w:tcBorders>
            <w:shd w:val="clear" w:color="auto" w:fill="auto"/>
            <w:noWrap/>
            <w:vAlign w:val="bottom"/>
            <w:hideMark/>
          </w:tcPr>
          <w:p w14:paraId="17B9B542" w14:textId="194E3B02"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100</w:t>
            </w:r>
          </w:p>
        </w:tc>
        <w:tc>
          <w:tcPr>
            <w:tcW w:w="567" w:type="dxa"/>
            <w:tcBorders>
              <w:top w:val="nil"/>
              <w:left w:val="single" w:sz="8" w:space="0" w:color="auto"/>
              <w:bottom w:val="single" w:sz="4" w:space="0" w:color="auto"/>
              <w:right w:val="single" w:sz="8" w:space="0" w:color="auto"/>
            </w:tcBorders>
            <w:vAlign w:val="bottom"/>
          </w:tcPr>
          <w:p w14:paraId="4E1AC787" w14:textId="52405BEF"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2.2</w:t>
            </w:r>
          </w:p>
        </w:tc>
        <w:tc>
          <w:tcPr>
            <w:tcW w:w="674" w:type="dxa"/>
            <w:tcBorders>
              <w:top w:val="nil"/>
              <w:left w:val="single" w:sz="8" w:space="0" w:color="auto"/>
              <w:bottom w:val="single" w:sz="4" w:space="0" w:color="auto"/>
              <w:right w:val="single" w:sz="8" w:space="0" w:color="auto"/>
            </w:tcBorders>
            <w:vAlign w:val="bottom"/>
          </w:tcPr>
          <w:p w14:paraId="74656234" w14:textId="6F2E71AC"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55</w:t>
            </w:r>
          </w:p>
        </w:tc>
        <w:tc>
          <w:tcPr>
            <w:tcW w:w="857" w:type="dxa"/>
            <w:tcBorders>
              <w:top w:val="nil"/>
              <w:left w:val="single" w:sz="8" w:space="0" w:color="auto"/>
              <w:bottom w:val="single" w:sz="4" w:space="0" w:color="auto"/>
              <w:right w:val="single" w:sz="8" w:space="0" w:color="auto"/>
            </w:tcBorders>
            <w:vAlign w:val="bottom"/>
          </w:tcPr>
          <w:p w14:paraId="70754EC3" w14:textId="0D2F9F73"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3.9</w:t>
            </w:r>
          </w:p>
        </w:tc>
        <w:tc>
          <w:tcPr>
            <w:tcW w:w="910" w:type="dxa"/>
            <w:tcBorders>
              <w:top w:val="nil"/>
              <w:left w:val="single" w:sz="8" w:space="0" w:color="auto"/>
              <w:bottom w:val="single" w:sz="4" w:space="0" w:color="auto"/>
              <w:right w:val="single" w:sz="8" w:space="0" w:color="auto"/>
            </w:tcBorders>
            <w:vAlign w:val="bottom"/>
          </w:tcPr>
          <w:p w14:paraId="7AB60B21" w14:textId="60696EAD" w:rsidR="00754A61" w:rsidRPr="001B7BC7" w:rsidRDefault="00B151DA" w:rsidP="00754A61">
            <w:pPr>
              <w:jc w:val="center"/>
              <w:rPr>
                <w:rFonts w:cs="Arial"/>
                <w:color w:val="000000"/>
                <w:sz w:val="20"/>
                <w:szCs w:val="20"/>
                <w:lang w:eastAsia="en-GB"/>
              </w:rPr>
            </w:pPr>
            <w:r w:rsidRPr="001B7BC7">
              <w:rPr>
                <w:rFonts w:cs="Arial"/>
                <w:color w:val="000000"/>
                <w:sz w:val="20"/>
                <w:szCs w:val="20"/>
                <w:lang w:eastAsia="en-GB"/>
              </w:rPr>
              <w:t>95</w:t>
            </w:r>
          </w:p>
        </w:tc>
        <w:tc>
          <w:tcPr>
            <w:tcW w:w="857" w:type="dxa"/>
            <w:tcBorders>
              <w:top w:val="nil"/>
              <w:left w:val="single" w:sz="8" w:space="0" w:color="auto"/>
              <w:bottom w:val="single" w:sz="4" w:space="0" w:color="auto"/>
              <w:right w:val="single" w:sz="4" w:space="0" w:color="auto"/>
            </w:tcBorders>
            <w:shd w:val="clear" w:color="auto" w:fill="auto"/>
            <w:noWrap/>
            <w:vAlign w:val="bottom"/>
            <w:hideMark/>
          </w:tcPr>
          <w:p w14:paraId="4A6B706E" w14:textId="7E282D0B"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1.4</w:t>
            </w:r>
          </w:p>
        </w:tc>
        <w:tc>
          <w:tcPr>
            <w:tcW w:w="910" w:type="dxa"/>
            <w:tcBorders>
              <w:top w:val="nil"/>
              <w:left w:val="nil"/>
              <w:bottom w:val="single" w:sz="4" w:space="0" w:color="auto"/>
              <w:right w:val="single" w:sz="8" w:space="0" w:color="auto"/>
            </w:tcBorders>
            <w:shd w:val="clear" w:color="auto" w:fill="auto"/>
            <w:noWrap/>
            <w:vAlign w:val="bottom"/>
            <w:hideMark/>
          </w:tcPr>
          <w:p w14:paraId="16C5026E" w14:textId="7D9DB557"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35</w:t>
            </w:r>
          </w:p>
        </w:tc>
        <w:tc>
          <w:tcPr>
            <w:tcW w:w="857" w:type="dxa"/>
            <w:tcBorders>
              <w:top w:val="nil"/>
              <w:left w:val="nil"/>
              <w:bottom w:val="single" w:sz="4" w:space="0" w:color="auto"/>
              <w:right w:val="single" w:sz="4" w:space="0" w:color="auto"/>
            </w:tcBorders>
            <w:shd w:val="clear" w:color="auto" w:fill="auto"/>
            <w:noWrap/>
            <w:vAlign w:val="bottom"/>
            <w:hideMark/>
          </w:tcPr>
          <w:p w14:paraId="1EFB00F7" w14:textId="2D62EFB2"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2.2</w:t>
            </w:r>
          </w:p>
        </w:tc>
        <w:tc>
          <w:tcPr>
            <w:tcW w:w="910" w:type="dxa"/>
            <w:tcBorders>
              <w:top w:val="nil"/>
              <w:left w:val="nil"/>
              <w:bottom w:val="single" w:sz="4" w:space="0" w:color="auto"/>
              <w:right w:val="single" w:sz="8" w:space="0" w:color="auto"/>
            </w:tcBorders>
            <w:shd w:val="clear" w:color="auto" w:fill="auto"/>
            <w:noWrap/>
            <w:vAlign w:val="bottom"/>
            <w:hideMark/>
          </w:tcPr>
          <w:p w14:paraId="1E60D6C1" w14:textId="26E1FC58"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55</w:t>
            </w:r>
          </w:p>
        </w:tc>
        <w:tc>
          <w:tcPr>
            <w:tcW w:w="952" w:type="dxa"/>
            <w:tcBorders>
              <w:top w:val="nil"/>
              <w:left w:val="nil"/>
              <w:bottom w:val="single" w:sz="4" w:space="0" w:color="auto"/>
              <w:right w:val="single" w:sz="4" w:space="0" w:color="auto"/>
            </w:tcBorders>
            <w:shd w:val="clear" w:color="auto" w:fill="auto"/>
            <w:noWrap/>
            <w:vAlign w:val="bottom"/>
            <w:hideMark/>
          </w:tcPr>
          <w:p w14:paraId="041B677C"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1.5</w:t>
            </w:r>
          </w:p>
        </w:tc>
        <w:tc>
          <w:tcPr>
            <w:tcW w:w="910" w:type="dxa"/>
            <w:tcBorders>
              <w:top w:val="nil"/>
              <w:left w:val="nil"/>
              <w:bottom w:val="single" w:sz="4" w:space="0" w:color="auto"/>
              <w:right w:val="single" w:sz="8" w:space="0" w:color="auto"/>
            </w:tcBorders>
            <w:shd w:val="clear" w:color="auto" w:fill="auto"/>
            <w:noWrap/>
            <w:vAlign w:val="bottom"/>
            <w:hideMark/>
          </w:tcPr>
          <w:p w14:paraId="2A5DAA75"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40</w:t>
            </w:r>
          </w:p>
        </w:tc>
        <w:tc>
          <w:tcPr>
            <w:tcW w:w="936" w:type="dxa"/>
            <w:tcBorders>
              <w:top w:val="nil"/>
              <w:left w:val="nil"/>
              <w:bottom w:val="single" w:sz="4" w:space="0" w:color="auto"/>
              <w:right w:val="single" w:sz="4" w:space="0" w:color="auto"/>
            </w:tcBorders>
            <w:shd w:val="clear" w:color="auto" w:fill="auto"/>
            <w:noWrap/>
            <w:vAlign w:val="bottom"/>
            <w:hideMark/>
          </w:tcPr>
          <w:p w14:paraId="66611CFF"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2.6</w:t>
            </w:r>
          </w:p>
        </w:tc>
        <w:tc>
          <w:tcPr>
            <w:tcW w:w="950" w:type="dxa"/>
            <w:tcBorders>
              <w:top w:val="nil"/>
              <w:left w:val="nil"/>
              <w:bottom w:val="single" w:sz="4" w:space="0" w:color="auto"/>
              <w:right w:val="single" w:sz="8" w:space="0" w:color="auto"/>
            </w:tcBorders>
            <w:shd w:val="clear" w:color="auto" w:fill="auto"/>
            <w:noWrap/>
            <w:vAlign w:val="bottom"/>
            <w:hideMark/>
          </w:tcPr>
          <w:p w14:paraId="36A26251"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65</w:t>
            </w:r>
          </w:p>
        </w:tc>
      </w:tr>
      <w:tr w:rsidR="0083289D" w:rsidRPr="0083289D" w14:paraId="686FF9C0" w14:textId="77777777" w:rsidTr="0083289D">
        <w:trPr>
          <w:trHeight w:val="436"/>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BC8FD74"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New Zealand</w:t>
            </w:r>
          </w:p>
        </w:tc>
        <w:tc>
          <w:tcPr>
            <w:tcW w:w="993" w:type="dxa"/>
            <w:tcBorders>
              <w:top w:val="nil"/>
              <w:left w:val="nil"/>
              <w:bottom w:val="single" w:sz="4" w:space="0" w:color="auto"/>
              <w:right w:val="single" w:sz="4" w:space="0" w:color="auto"/>
            </w:tcBorders>
            <w:shd w:val="clear" w:color="auto" w:fill="auto"/>
            <w:noWrap/>
            <w:vAlign w:val="bottom"/>
            <w:hideMark/>
          </w:tcPr>
          <w:p w14:paraId="38AFF061"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5-14</w:t>
            </w:r>
            <w:r w:rsidRPr="0083289D">
              <w:rPr>
                <w:rFonts w:cs="Arial"/>
                <w:color w:val="000000"/>
                <w:sz w:val="20"/>
                <w:szCs w:val="20"/>
                <w:lang w:eastAsia="en-GB"/>
              </w:rPr>
              <w:t xml:space="preserve"> </w:t>
            </w:r>
            <w:r w:rsidRPr="0083289D">
              <w:rPr>
                <w:rFonts w:cs="Arial"/>
                <w:color w:val="000000"/>
                <w:sz w:val="20"/>
                <w:szCs w:val="20"/>
                <w:vertAlign w:val="superscript"/>
                <w:lang w:eastAsia="en-GB"/>
              </w:rPr>
              <w:t>ѱ</w:t>
            </w:r>
          </w:p>
        </w:tc>
        <w:tc>
          <w:tcPr>
            <w:tcW w:w="1417" w:type="dxa"/>
            <w:tcBorders>
              <w:top w:val="nil"/>
              <w:left w:val="nil"/>
              <w:bottom w:val="single" w:sz="4" w:space="0" w:color="auto"/>
              <w:right w:val="single" w:sz="4" w:space="0" w:color="auto"/>
            </w:tcBorders>
            <w:shd w:val="clear" w:color="auto" w:fill="auto"/>
            <w:noWrap/>
            <w:vAlign w:val="bottom"/>
            <w:hideMark/>
          </w:tcPr>
          <w:p w14:paraId="50A59DA4" w14:textId="1659B1A5"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3275</w:t>
            </w:r>
          </w:p>
        </w:tc>
        <w:tc>
          <w:tcPr>
            <w:tcW w:w="1559" w:type="dxa"/>
            <w:tcBorders>
              <w:top w:val="nil"/>
              <w:left w:val="nil"/>
              <w:bottom w:val="single" w:sz="4" w:space="0" w:color="auto"/>
              <w:right w:val="nil"/>
            </w:tcBorders>
            <w:shd w:val="clear" w:color="auto" w:fill="auto"/>
            <w:noWrap/>
            <w:vAlign w:val="bottom"/>
            <w:hideMark/>
          </w:tcPr>
          <w:p w14:paraId="7C9D85B3" w14:textId="145D067E"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100</w:t>
            </w:r>
          </w:p>
        </w:tc>
        <w:tc>
          <w:tcPr>
            <w:tcW w:w="567" w:type="dxa"/>
            <w:tcBorders>
              <w:top w:val="nil"/>
              <w:left w:val="single" w:sz="8" w:space="0" w:color="auto"/>
              <w:bottom w:val="single" w:sz="4" w:space="0" w:color="auto"/>
              <w:right w:val="single" w:sz="8" w:space="0" w:color="auto"/>
            </w:tcBorders>
            <w:vAlign w:val="bottom"/>
          </w:tcPr>
          <w:p w14:paraId="3AA7149D" w14:textId="0914E98F"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3.3</w:t>
            </w:r>
          </w:p>
        </w:tc>
        <w:tc>
          <w:tcPr>
            <w:tcW w:w="674" w:type="dxa"/>
            <w:tcBorders>
              <w:top w:val="nil"/>
              <w:left w:val="single" w:sz="8" w:space="0" w:color="auto"/>
              <w:bottom w:val="single" w:sz="4" w:space="0" w:color="auto"/>
              <w:right w:val="single" w:sz="8" w:space="0" w:color="auto"/>
            </w:tcBorders>
            <w:vAlign w:val="bottom"/>
          </w:tcPr>
          <w:p w14:paraId="36CE9E95" w14:textId="6844282C"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80</w:t>
            </w:r>
          </w:p>
        </w:tc>
        <w:tc>
          <w:tcPr>
            <w:tcW w:w="857" w:type="dxa"/>
            <w:tcBorders>
              <w:top w:val="nil"/>
              <w:left w:val="single" w:sz="8" w:space="0" w:color="auto"/>
              <w:bottom w:val="single" w:sz="4" w:space="0" w:color="auto"/>
              <w:right w:val="single" w:sz="8" w:space="0" w:color="auto"/>
            </w:tcBorders>
            <w:vAlign w:val="bottom"/>
          </w:tcPr>
          <w:p w14:paraId="2FA681E9" w14:textId="522561AE"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6.5</w:t>
            </w:r>
          </w:p>
        </w:tc>
        <w:tc>
          <w:tcPr>
            <w:tcW w:w="910" w:type="dxa"/>
            <w:tcBorders>
              <w:top w:val="nil"/>
              <w:left w:val="single" w:sz="8" w:space="0" w:color="auto"/>
              <w:bottom w:val="single" w:sz="4" w:space="0" w:color="auto"/>
              <w:right w:val="single" w:sz="8" w:space="0" w:color="auto"/>
            </w:tcBorders>
            <w:vAlign w:val="bottom"/>
          </w:tcPr>
          <w:p w14:paraId="1C0CE149" w14:textId="4D8142FF" w:rsidR="00754A61" w:rsidRPr="001B7BC7" w:rsidRDefault="00B151DA" w:rsidP="00754A61">
            <w:pPr>
              <w:jc w:val="center"/>
              <w:rPr>
                <w:rFonts w:cs="Arial"/>
                <w:color w:val="000000"/>
                <w:sz w:val="20"/>
                <w:szCs w:val="20"/>
                <w:lang w:eastAsia="en-GB"/>
              </w:rPr>
            </w:pPr>
            <w:r w:rsidRPr="001B7BC7">
              <w:rPr>
                <w:rFonts w:cs="Arial"/>
                <w:color w:val="000000"/>
                <w:sz w:val="20"/>
                <w:szCs w:val="20"/>
                <w:lang w:eastAsia="en-GB"/>
              </w:rPr>
              <w:t>160</w:t>
            </w:r>
          </w:p>
        </w:tc>
        <w:tc>
          <w:tcPr>
            <w:tcW w:w="857" w:type="dxa"/>
            <w:tcBorders>
              <w:top w:val="nil"/>
              <w:left w:val="single" w:sz="8" w:space="0" w:color="auto"/>
              <w:bottom w:val="single" w:sz="4" w:space="0" w:color="auto"/>
              <w:right w:val="single" w:sz="4" w:space="0" w:color="auto"/>
            </w:tcBorders>
            <w:shd w:val="clear" w:color="auto" w:fill="auto"/>
            <w:noWrap/>
            <w:vAlign w:val="bottom"/>
            <w:hideMark/>
          </w:tcPr>
          <w:p w14:paraId="421F1E29" w14:textId="0ED4ED33"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1.8</w:t>
            </w:r>
          </w:p>
        </w:tc>
        <w:tc>
          <w:tcPr>
            <w:tcW w:w="910" w:type="dxa"/>
            <w:tcBorders>
              <w:top w:val="nil"/>
              <w:left w:val="nil"/>
              <w:bottom w:val="single" w:sz="4" w:space="0" w:color="auto"/>
              <w:right w:val="single" w:sz="8" w:space="0" w:color="auto"/>
            </w:tcBorders>
            <w:shd w:val="clear" w:color="auto" w:fill="auto"/>
            <w:noWrap/>
            <w:vAlign w:val="bottom"/>
            <w:hideMark/>
          </w:tcPr>
          <w:p w14:paraId="3ED4E7BB" w14:textId="4847717C"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45</w:t>
            </w:r>
          </w:p>
        </w:tc>
        <w:tc>
          <w:tcPr>
            <w:tcW w:w="857" w:type="dxa"/>
            <w:tcBorders>
              <w:top w:val="nil"/>
              <w:left w:val="nil"/>
              <w:bottom w:val="single" w:sz="4" w:space="0" w:color="auto"/>
              <w:right w:val="single" w:sz="4" w:space="0" w:color="auto"/>
            </w:tcBorders>
            <w:shd w:val="clear" w:color="auto" w:fill="auto"/>
            <w:noWrap/>
            <w:vAlign w:val="bottom"/>
            <w:hideMark/>
          </w:tcPr>
          <w:p w14:paraId="08CACCCD" w14:textId="0B27A09A"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3.5</w:t>
            </w:r>
          </w:p>
        </w:tc>
        <w:tc>
          <w:tcPr>
            <w:tcW w:w="910" w:type="dxa"/>
            <w:tcBorders>
              <w:top w:val="nil"/>
              <w:left w:val="nil"/>
              <w:bottom w:val="single" w:sz="4" w:space="0" w:color="auto"/>
              <w:right w:val="single" w:sz="8" w:space="0" w:color="auto"/>
            </w:tcBorders>
            <w:shd w:val="clear" w:color="auto" w:fill="auto"/>
            <w:noWrap/>
            <w:vAlign w:val="bottom"/>
            <w:hideMark/>
          </w:tcPr>
          <w:p w14:paraId="671F7C1C" w14:textId="46E85CBE"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90</w:t>
            </w:r>
          </w:p>
        </w:tc>
        <w:tc>
          <w:tcPr>
            <w:tcW w:w="952" w:type="dxa"/>
            <w:tcBorders>
              <w:top w:val="nil"/>
              <w:left w:val="nil"/>
              <w:bottom w:val="single" w:sz="4" w:space="0" w:color="auto"/>
              <w:right w:val="single" w:sz="4" w:space="0" w:color="auto"/>
            </w:tcBorders>
            <w:shd w:val="clear" w:color="auto" w:fill="auto"/>
            <w:noWrap/>
            <w:vAlign w:val="bottom"/>
            <w:hideMark/>
          </w:tcPr>
          <w:p w14:paraId="3DE91B62"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1.9</w:t>
            </w:r>
          </w:p>
        </w:tc>
        <w:tc>
          <w:tcPr>
            <w:tcW w:w="910" w:type="dxa"/>
            <w:tcBorders>
              <w:top w:val="nil"/>
              <w:left w:val="nil"/>
              <w:bottom w:val="single" w:sz="4" w:space="0" w:color="auto"/>
              <w:right w:val="single" w:sz="8" w:space="0" w:color="auto"/>
            </w:tcBorders>
            <w:shd w:val="clear" w:color="auto" w:fill="auto"/>
            <w:noWrap/>
            <w:vAlign w:val="bottom"/>
            <w:hideMark/>
          </w:tcPr>
          <w:p w14:paraId="32CC56F1"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45</w:t>
            </w:r>
          </w:p>
        </w:tc>
        <w:tc>
          <w:tcPr>
            <w:tcW w:w="936" w:type="dxa"/>
            <w:tcBorders>
              <w:top w:val="nil"/>
              <w:left w:val="nil"/>
              <w:bottom w:val="single" w:sz="4" w:space="0" w:color="auto"/>
              <w:right w:val="single" w:sz="4" w:space="0" w:color="auto"/>
            </w:tcBorders>
            <w:shd w:val="clear" w:color="auto" w:fill="auto"/>
            <w:noWrap/>
            <w:vAlign w:val="bottom"/>
            <w:hideMark/>
          </w:tcPr>
          <w:p w14:paraId="64303B4F"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3.8</w:t>
            </w:r>
          </w:p>
        </w:tc>
        <w:tc>
          <w:tcPr>
            <w:tcW w:w="950" w:type="dxa"/>
            <w:tcBorders>
              <w:top w:val="nil"/>
              <w:left w:val="nil"/>
              <w:bottom w:val="single" w:sz="4" w:space="0" w:color="auto"/>
              <w:right w:val="single" w:sz="8" w:space="0" w:color="auto"/>
            </w:tcBorders>
            <w:shd w:val="clear" w:color="auto" w:fill="auto"/>
            <w:noWrap/>
            <w:vAlign w:val="bottom"/>
            <w:hideMark/>
          </w:tcPr>
          <w:p w14:paraId="296024C9"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95</w:t>
            </w:r>
          </w:p>
        </w:tc>
      </w:tr>
      <w:tr w:rsidR="0083289D" w:rsidRPr="0083289D" w14:paraId="6CCE3FF0" w14:textId="77777777" w:rsidTr="0083289D">
        <w:trPr>
          <w:trHeight w:val="436"/>
        </w:trPr>
        <w:tc>
          <w:tcPr>
            <w:tcW w:w="1129" w:type="dxa"/>
            <w:vMerge/>
            <w:tcBorders>
              <w:top w:val="nil"/>
              <w:left w:val="single" w:sz="4" w:space="0" w:color="auto"/>
              <w:bottom w:val="single" w:sz="4" w:space="0" w:color="000000"/>
              <w:right w:val="single" w:sz="4" w:space="0" w:color="auto"/>
            </w:tcBorders>
            <w:vAlign w:val="center"/>
            <w:hideMark/>
          </w:tcPr>
          <w:p w14:paraId="2ACD2693" w14:textId="77777777" w:rsidR="00754A61" w:rsidRPr="0083289D" w:rsidRDefault="00754A61" w:rsidP="00754A61">
            <w:pPr>
              <w:rPr>
                <w:rFonts w:cs="Arial"/>
                <w:b/>
                <w:bCs/>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vAlign w:val="bottom"/>
            <w:hideMark/>
          </w:tcPr>
          <w:p w14:paraId="1B4D977E" w14:textId="77777777" w:rsidR="00754A61" w:rsidRPr="0083289D" w:rsidRDefault="00754A61" w:rsidP="00754A61">
            <w:pPr>
              <w:jc w:val="center"/>
              <w:rPr>
                <w:rFonts w:cs="Arial"/>
                <w:b/>
                <w:bCs/>
                <w:color w:val="000000"/>
                <w:sz w:val="20"/>
                <w:szCs w:val="20"/>
                <w:lang w:eastAsia="en-GB"/>
              </w:rPr>
            </w:pPr>
            <w:r w:rsidRPr="0083289D">
              <w:rPr>
                <w:rFonts w:cs="Arial"/>
                <w:b/>
                <w:bCs/>
                <w:color w:val="000000"/>
                <w:sz w:val="20"/>
                <w:szCs w:val="20"/>
                <w:lang w:eastAsia="en-GB"/>
              </w:rPr>
              <w:t>15+</w:t>
            </w:r>
            <w:r w:rsidRPr="0083289D">
              <w:rPr>
                <w:rFonts w:cs="Arial"/>
                <w:color w:val="000000"/>
                <w:sz w:val="20"/>
                <w:szCs w:val="20"/>
                <w:lang w:eastAsia="en-GB"/>
              </w:rPr>
              <w:t>*</w:t>
            </w:r>
          </w:p>
        </w:tc>
        <w:tc>
          <w:tcPr>
            <w:tcW w:w="1417" w:type="dxa"/>
            <w:tcBorders>
              <w:top w:val="nil"/>
              <w:left w:val="nil"/>
              <w:bottom w:val="single" w:sz="8" w:space="0" w:color="auto"/>
              <w:right w:val="single" w:sz="4" w:space="0" w:color="auto"/>
            </w:tcBorders>
            <w:shd w:val="clear" w:color="auto" w:fill="auto"/>
            <w:noWrap/>
            <w:vAlign w:val="bottom"/>
            <w:hideMark/>
          </w:tcPr>
          <w:p w14:paraId="0AB97832" w14:textId="3A18BF35"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4721</w:t>
            </w:r>
          </w:p>
        </w:tc>
        <w:tc>
          <w:tcPr>
            <w:tcW w:w="1559" w:type="dxa"/>
            <w:tcBorders>
              <w:top w:val="nil"/>
              <w:left w:val="nil"/>
              <w:bottom w:val="single" w:sz="4" w:space="0" w:color="auto"/>
              <w:right w:val="nil"/>
            </w:tcBorders>
            <w:shd w:val="clear" w:color="auto" w:fill="auto"/>
            <w:noWrap/>
            <w:vAlign w:val="bottom"/>
            <w:hideMark/>
          </w:tcPr>
          <w:p w14:paraId="0844CB38" w14:textId="30C18C21"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100</w:t>
            </w:r>
          </w:p>
        </w:tc>
        <w:tc>
          <w:tcPr>
            <w:tcW w:w="567" w:type="dxa"/>
            <w:tcBorders>
              <w:top w:val="nil"/>
              <w:left w:val="single" w:sz="8" w:space="0" w:color="auto"/>
              <w:bottom w:val="single" w:sz="8" w:space="0" w:color="auto"/>
              <w:right w:val="single" w:sz="8" w:space="0" w:color="auto"/>
            </w:tcBorders>
            <w:vAlign w:val="bottom"/>
          </w:tcPr>
          <w:p w14:paraId="26807012" w14:textId="60171D09"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2.3</w:t>
            </w:r>
          </w:p>
        </w:tc>
        <w:tc>
          <w:tcPr>
            <w:tcW w:w="674" w:type="dxa"/>
            <w:tcBorders>
              <w:top w:val="nil"/>
              <w:left w:val="single" w:sz="8" w:space="0" w:color="auto"/>
              <w:bottom w:val="single" w:sz="8" w:space="0" w:color="auto"/>
              <w:right w:val="single" w:sz="8" w:space="0" w:color="auto"/>
            </w:tcBorders>
            <w:vAlign w:val="bottom"/>
          </w:tcPr>
          <w:p w14:paraId="28581A23" w14:textId="33F7E2F5"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60</w:t>
            </w:r>
          </w:p>
        </w:tc>
        <w:tc>
          <w:tcPr>
            <w:tcW w:w="857" w:type="dxa"/>
            <w:tcBorders>
              <w:top w:val="nil"/>
              <w:left w:val="single" w:sz="8" w:space="0" w:color="auto"/>
              <w:bottom w:val="single" w:sz="8" w:space="0" w:color="auto"/>
              <w:right w:val="single" w:sz="8" w:space="0" w:color="auto"/>
            </w:tcBorders>
            <w:vAlign w:val="bottom"/>
          </w:tcPr>
          <w:p w14:paraId="56EF8203" w14:textId="676D5565"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4.1</w:t>
            </w:r>
          </w:p>
        </w:tc>
        <w:tc>
          <w:tcPr>
            <w:tcW w:w="910" w:type="dxa"/>
            <w:tcBorders>
              <w:top w:val="nil"/>
              <w:left w:val="single" w:sz="8" w:space="0" w:color="auto"/>
              <w:bottom w:val="single" w:sz="8" w:space="0" w:color="auto"/>
              <w:right w:val="single" w:sz="8" w:space="0" w:color="auto"/>
            </w:tcBorders>
            <w:vAlign w:val="bottom"/>
          </w:tcPr>
          <w:p w14:paraId="74951D6D" w14:textId="61E1790B"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100</w:t>
            </w:r>
          </w:p>
        </w:tc>
        <w:tc>
          <w:tcPr>
            <w:tcW w:w="857" w:type="dxa"/>
            <w:tcBorders>
              <w:top w:val="nil"/>
              <w:left w:val="single" w:sz="8" w:space="0" w:color="auto"/>
              <w:bottom w:val="single" w:sz="8" w:space="0" w:color="auto"/>
              <w:right w:val="single" w:sz="4" w:space="0" w:color="auto"/>
            </w:tcBorders>
            <w:shd w:val="clear" w:color="auto" w:fill="auto"/>
            <w:noWrap/>
            <w:vAlign w:val="bottom"/>
            <w:hideMark/>
          </w:tcPr>
          <w:p w14:paraId="5234C789" w14:textId="284CE3B9" w:rsidR="00754A61" w:rsidRPr="0083289D" w:rsidRDefault="007378FB" w:rsidP="007378FB">
            <w:pPr>
              <w:jc w:val="center"/>
              <w:rPr>
                <w:rFonts w:cs="Arial"/>
                <w:color w:val="000000"/>
                <w:sz w:val="20"/>
                <w:szCs w:val="20"/>
                <w:lang w:eastAsia="en-GB"/>
              </w:rPr>
            </w:pPr>
            <w:r w:rsidRPr="0083289D">
              <w:rPr>
                <w:rFonts w:cs="Arial"/>
                <w:color w:val="000000"/>
                <w:sz w:val="20"/>
                <w:szCs w:val="20"/>
                <w:lang w:eastAsia="en-GB"/>
              </w:rPr>
              <w:t>1.4</w:t>
            </w:r>
          </w:p>
        </w:tc>
        <w:tc>
          <w:tcPr>
            <w:tcW w:w="910" w:type="dxa"/>
            <w:tcBorders>
              <w:top w:val="nil"/>
              <w:left w:val="nil"/>
              <w:bottom w:val="single" w:sz="8" w:space="0" w:color="auto"/>
              <w:right w:val="single" w:sz="8" w:space="0" w:color="auto"/>
            </w:tcBorders>
            <w:shd w:val="clear" w:color="auto" w:fill="auto"/>
            <w:noWrap/>
            <w:vAlign w:val="bottom"/>
            <w:hideMark/>
          </w:tcPr>
          <w:p w14:paraId="4DD7A258" w14:textId="2D533BE8"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35</w:t>
            </w:r>
          </w:p>
        </w:tc>
        <w:tc>
          <w:tcPr>
            <w:tcW w:w="857" w:type="dxa"/>
            <w:tcBorders>
              <w:top w:val="nil"/>
              <w:left w:val="nil"/>
              <w:bottom w:val="single" w:sz="8" w:space="0" w:color="auto"/>
              <w:right w:val="single" w:sz="4" w:space="0" w:color="auto"/>
            </w:tcBorders>
            <w:shd w:val="clear" w:color="auto" w:fill="auto"/>
            <w:noWrap/>
            <w:vAlign w:val="bottom"/>
            <w:hideMark/>
          </w:tcPr>
          <w:p w14:paraId="647BE00F" w14:textId="5342DA40"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2.2</w:t>
            </w:r>
          </w:p>
        </w:tc>
        <w:tc>
          <w:tcPr>
            <w:tcW w:w="910" w:type="dxa"/>
            <w:tcBorders>
              <w:top w:val="nil"/>
              <w:left w:val="nil"/>
              <w:bottom w:val="single" w:sz="8" w:space="0" w:color="auto"/>
              <w:right w:val="single" w:sz="8" w:space="0" w:color="auto"/>
            </w:tcBorders>
            <w:shd w:val="clear" w:color="auto" w:fill="auto"/>
            <w:noWrap/>
            <w:vAlign w:val="bottom"/>
            <w:hideMark/>
          </w:tcPr>
          <w:p w14:paraId="7F4F9455" w14:textId="57C4EB97" w:rsidR="00754A61" w:rsidRPr="0083289D" w:rsidRDefault="007378FB" w:rsidP="00754A61">
            <w:pPr>
              <w:jc w:val="center"/>
              <w:rPr>
                <w:rFonts w:cs="Arial"/>
                <w:color w:val="000000"/>
                <w:sz w:val="20"/>
                <w:szCs w:val="20"/>
                <w:lang w:eastAsia="en-GB"/>
              </w:rPr>
            </w:pPr>
            <w:r w:rsidRPr="0083289D">
              <w:rPr>
                <w:rFonts w:cs="Arial"/>
                <w:color w:val="000000"/>
                <w:sz w:val="20"/>
                <w:szCs w:val="20"/>
                <w:lang w:eastAsia="en-GB"/>
              </w:rPr>
              <w:t>55</w:t>
            </w:r>
          </w:p>
        </w:tc>
        <w:tc>
          <w:tcPr>
            <w:tcW w:w="952" w:type="dxa"/>
            <w:tcBorders>
              <w:top w:val="nil"/>
              <w:left w:val="nil"/>
              <w:bottom w:val="single" w:sz="8" w:space="0" w:color="auto"/>
              <w:right w:val="single" w:sz="4" w:space="0" w:color="auto"/>
            </w:tcBorders>
            <w:shd w:val="clear" w:color="auto" w:fill="auto"/>
            <w:noWrap/>
            <w:vAlign w:val="bottom"/>
            <w:hideMark/>
          </w:tcPr>
          <w:p w14:paraId="2AFA8EDF"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1.5</w:t>
            </w:r>
          </w:p>
        </w:tc>
        <w:tc>
          <w:tcPr>
            <w:tcW w:w="910" w:type="dxa"/>
            <w:tcBorders>
              <w:top w:val="nil"/>
              <w:left w:val="nil"/>
              <w:bottom w:val="single" w:sz="8" w:space="0" w:color="auto"/>
              <w:right w:val="single" w:sz="8" w:space="0" w:color="auto"/>
            </w:tcBorders>
            <w:shd w:val="clear" w:color="auto" w:fill="auto"/>
            <w:noWrap/>
            <w:vAlign w:val="bottom"/>
            <w:hideMark/>
          </w:tcPr>
          <w:p w14:paraId="6947BC94"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35</w:t>
            </w:r>
          </w:p>
        </w:tc>
        <w:tc>
          <w:tcPr>
            <w:tcW w:w="936" w:type="dxa"/>
            <w:tcBorders>
              <w:top w:val="nil"/>
              <w:left w:val="nil"/>
              <w:bottom w:val="single" w:sz="8" w:space="0" w:color="auto"/>
              <w:right w:val="single" w:sz="4" w:space="0" w:color="auto"/>
            </w:tcBorders>
            <w:shd w:val="clear" w:color="auto" w:fill="auto"/>
            <w:noWrap/>
            <w:vAlign w:val="bottom"/>
            <w:hideMark/>
          </w:tcPr>
          <w:p w14:paraId="001A631E"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2.3</w:t>
            </w:r>
          </w:p>
        </w:tc>
        <w:tc>
          <w:tcPr>
            <w:tcW w:w="950" w:type="dxa"/>
            <w:tcBorders>
              <w:top w:val="nil"/>
              <w:left w:val="nil"/>
              <w:bottom w:val="single" w:sz="8" w:space="0" w:color="auto"/>
              <w:right w:val="single" w:sz="8" w:space="0" w:color="auto"/>
            </w:tcBorders>
            <w:shd w:val="clear" w:color="auto" w:fill="auto"/>
            <w:noWrap/>
            <w:vAlign w:val="bottom"/>
            <w:hideMark/>
          </w:tcPr>
          <w:p w14:paraId="0F593837" w14:textId="77777777" w:rsidR="00754A61" w:rsidRPr="0083289D" w:rsidRDefault="00754A61" w:rsidP="00754A61">
            <w:pPr>
              <w:jc w:val="center"/>
              <w:rPr>
                <w:rFonts w:cs="Arial"/>
                <w:color w:val="000000"/>
                <w:sz w:val="20"/>
                <w:szCs w:val="20"/>
                <w:lang w:eastAsia="en-GB"/>
              </w:rPr>
            </w:pPr>
            <w:r w:rsidRPr="0083289D">
              <w:rPr>
                <w:rFonts w:cs="Arial"/>
                <w:color w:val="000000"/>
                <w:sz w:val="20"/>
                <w:szCs w:val="20"/>
                <w:lang w:eastAsia="en-GB"/>
              </w:rPr>
              <w:t>60</w:t>
            </w:r>
          </w:p>
        </w:tc>
      </w:tr>
      <w:tr w:rsidR="00754A61" w:rsidRPr="0083289D" w14:paraId="33C36443" w14:textId="77777777" w:rsidTr="0083289D">
        <w:trPr>
          <w:trHeight w:val="458"/>
        </w:trPr>
        <w:tc>
          <w:tcPr>
            <w:tcW w:w="15388" w:type="dxa"/>
            <w:gridSpan w:val="16"/>
            <w:tcBorders>
              <w:top w:val="nil"/>
              <w:left w:val="nil"/>
              <w:bottom w:val="nil"/>
            </w:tcBorders>
            <w:vAlign w:val="center"/>
          </w:tcPr>
          <w:p w14:paraId="1F27B062" w14:textId="77777777" w:rsidR="00754A61" w:rsidRPr="0083289D" w:rsidRDefault="00754A61" w:rsidP="00754A61">
            <w:pPr>
              <w:rPr>
                <w:rFonts w:cs="Arial"/>
                <w:color w:val="000000"/>
                <w:sz w:val="16"/>
                <w:szCs w:val="16"/>
                <w:lang w:eastAsia="en-GB"/>
              </w:rPr>
            </w:pPr>
            <w:r w:rsidRPr="0083289D">
              <w:rPr>
                <w:rFonts w:cs="Arial"/>
                <w:color w:val="000000"/>
                <w:sz w:val="16"/>
                <w:szCs w:val="16"/>
                <w:vertAlign w:val="superscript"/>
                <w:lang w:eastAsia="en-GB"/>
              </w:rPr>
              <w:t>β</w:t>
            </w:r>
            <w:r w:rsidRPr="0083289D">
              <w:rPr>
                <w:rFonts w:cs="Arial"/>
                <w:color w:val="000000"/>
                <w:sz w:val="16"/>
                <w:szCs w:val="16"/>
                <w:lang w:eastAsia="en-GB"/>
              </w:rPr>
              <w:t xml:space="preserve"> Individual respondents’ exposures are divided by their own body weight before deriving mean and P90 dietary exposures.</w:t>
            </w:r>
          </w:p>
          <w:p w14:paraId="50A66A6B" w14:textId="77777777" w:rsidR="00754A61" w:rsidRDefault="00754A61" w:rsidP="00754A61">
            <w:pPr>
              <w:rPr>
                <w:rFonts w:cs="Arial"/>
                <w:color w:val="000000"/>
                <w:sz w:val="16"/>
                <w:szCs w:val="16"/>
                <w:lang w:eastAsia="en-GB"/>
              </w:rPr>
            </w:pPr>
            <w:r w:rsidRPr="0083289D">
              <w:rPr>
                <w:rFonts w:cs="Arial"/>
                <w:color w:val="000000"/>
                <w:sz w:val="16"/>
                <w:szCs w:val="16"/>
                <w:vertAlign w:val="superscript"/>
                <w:lang w:eastAsia="en-GB"/>
              </w:rPr>
              <w:t>∩</w:t>
            </w:r>
            <w:r w:rsidRPr="0083289D">
              <w:rPr>
                <w:rFonts w:cs="Arial"/>
                <w:color w:val="000000"/>
                <w:sz w:val="16"/>
                <w:szCs w:val="16"/>
                <w:lang w:eastAsia="en-GB"/>
              </w:rPr>
              <w:t>Baseline exposure scenario was derived using the Maximum Permitted Levels listed in Schedule 15 of the Food Standards Code.</w:t>
            </w:r>
          </w:p>
          <w:p w14:paraId="1B4D5FA8" w14:textId="77777777" w:rsidR="00754A61" w:rsidRPr="0083289D" w:rsidRDefault="00754A61" w:rsidP="00754A61">
            <w:pPr>
              <w:rPr>
                <w:rFonts w:cs="Arial"/>
                <w:color w:val="000000"/>
                <w:sz w:val="16"/>
                <w:szCs w:val="16"/>
                <w:lang w:eastAsia="en-GB"/>
              </w:rPr>
            </w:pPr>
            <w:r w:rsidRPr="0083289D">
              <w:rPr>
                <w:rFonts w:cs="Arial"/>
                <w:color w:val="000000"/>
                <w:sz w:val="16"/>
                <w:szCs w:val="16"/>
                <w:vertAlign w:val="superscript"/>
                <w:lang w:eastAsia="en-GB"/>
              </w:rPr>
              <w:t>∫</w:t>
            </w:r>
            <w:r w:rsidRPr="0083289D">
              <w:rPr>
                <w:rFonts w:cs="Arial"/>
                <w:color w:val="000000"/>
                <w:sz w:val="16"/>
                <w:szCs w:val="16"/>
                <w:lang w:eastAsia="en-GB"/>
              </w:rPr>
              <w:t>Refined exposure scenario was derived using a weighted concentration calculated from industry use and market share data, with the proportion of market share where industry did not provide data the MPL was assigned. Fruit drinks were not included in the refined baseline assessment, and were included in the refined extension of use scenario.</w:t>
            </w:r>
          </w:p>
          <w:p w14:paraId="025B647C" w14:textId="79BC2292" w:rsidR="00754A61" w:rsidRPr="0083289D" w:rsidRDefault="00754A61" w:rsidP="00754A61">
            <w:pPr>
              <w:rPr>
                <w:rFonts w:cs="Arial"/>
                <w:color w:val="000000"/>
                <w:sz w:val="16"/>
                <w:szCs w:val="16"/>
                <w:lang w:eastAsia="en-GB"/>
              </w:rPr>
            </w:pPr>
            <w:r w:rsidRPr="0083289D">
              <w:rPr>
                <w:rFonts w:cs="Arial"/>
                <w:color w:val="000000"/>
                <w:sz w:val="16"/>
                <w:szCs w:val="16"/>
                <w:lang w:eastAsia="en-GB"/>
              </w:rPr>
              <w:t> Derived using the Australian 2011-12 NNPAS (2 day average exposure)</w:t>
            </w:r>
            <w:r w:rsidR="001B7BC7">
              <w:rPr>
                <w:rFonts w:cs="Arial"/>
                <w:color w:val="000000"/>
                <w:sz w:val="16"/>
                <w:szCs w:val="16"/>
                <w:lang w:eastAsia="en-GB"/>
              </w:rPr>
              <w:t>.</w:t>
            </w:r>
          </w:p>
          <w:p w14:paraId="072AA239" w14:textId="5CA61715" w:rsidR="00754A61" w:rsidRPr="0083289D" w:rsidRDefault="00754A61" w:rsidP="00754A61">
            <w:pPr>
              <w:rPr>
                <w:rFonts w:cs="Arial"/>
                <w:color w:val="000000"/>
                <w:sz w:val="16"/>
                <w:szCs w:val="16"/>
                <w:lang w:eastAsia="en-GB"/>
              </w:rPr>
            </w:pPr>
            <w:r w:rsidRPr="0083289D">
              <w:rPr>
                <w:rFonts w:cs="Arial"/>
                <w:color w:val="000000"/>
                <w:sz w:val="16"/>
                <w:szCs w:val="16"/>
                <w:lang w:eastAsia="en-GB"/>
              </w:rPr>
              <w:t>ѱ Derived using the NZ CNS 2002 (Day 1 only)</w:t>
            </w:r>
            <w:r w:rsidR="001B7BC7">
              <w:rPr>
                <w:rFonts w:cs="Arial"/>
                <w:color w:val="000000"/>
                <w:sz w:val="16"/>
                <w:szCs w:val="16"/>
                <w:lang w:eastAsia="en-GB"/>
              </w:rPr>
              <w:t>.</w:t>
            </w:r>
          </w:p>
          <w:p w14:paraId="2B402159" w14:textId="1A81F175" w:rsidR="00754A61" w:rsidRPr="0083289D" w:rsidRDefault="00754A61" w:rsidP="00754A61">
            <w:pPr>
              <w:rPr>
                <w:rFonts w:cs="Arial"/>
                <w:color w:val="000000"/>
                <w:sz w:val="16"/>
                <w:szCs w:val="16"/>
                <w:vertAlign w:val="superscript"/>
                <w:lang w:eastAsia="en-GB"/>
              </w:rPr>
            </w:pPr>
            <w:r w:rsidRPr="0083289D">
              <w:rPr>
                <w:rFonts w:cs="Arial"/>
                <w:color w:val="000000"/>
                <w:sz w:val="16"/>
                <w:szCs w:val="16"/>
                <w:lang w:eastAsia="en-GB"/>
              </w:rPr>
              <w:t>* Derived using the NZ ANS 2008 (Day 1 only)</w:t>
            </w:r>
            <w:r w:rsidR="001B7BC7">
              <w:rPr>
                <w:rFonts w:cs="Arial"/>
                <w:color w:val="000000"/>
                <w:sz w:val="16"/>
                <w:szCs w:val="16"/>
                <w:lang w:eastAsia="en-GB"/>
              </w:rPr>
              <w:t>.</w:t>
            </w:r>
          </w:p>
          <w:p w14:paraId="56F29823" w14:textId="0EDA7AFA" w:rsidR="00754A61" w:rsidRPr="0083289D" w:rsidRDefault="00754A61" w:rsidP="00754A61">
            <w:pPr>
              <w:rPr>
                <w:rFonts w:cs="Arial"/>
                <w:sz w:val="20"/>
                <w:szCs w:val="20"/>
                <w:lang w:eastAsia="en-GB"/>
              </w:rPr>
            </w:pPr>
          </w:p>
        </w:tc>
      </w:tr>
    </w:tbl>
    <w:p w14:paraId="69EA273E" w14:textId="77777777" w:rsidR="00724574" w:rsidRDefault="00724574" w:rsidP="00724574">
      <w:pPr>
        <w:pStyle w:val="FSTableFigureHeading"/>
        <w:sectPr w:rsidR="00724574" w:rsidSect="0032102D">
          <w:pgSz w:w="16838" w:h="11906" w:orient="landscape"/>
          <w:pgMar w:top="720" w:right="720" w:bottom="720" w:left="720" w:header="709" w:footer="709" w:gutter="0"/>
          <w:cols w:space="708"/>
          <w:docGrid w:linePitch="360"/>
        </w:sectPr>
      </w:pPr>
    </w:p>
    <w:p w14:paraId="56F06B9C" w14:textId="262639EC" w:rsidR="00724574" w:rsidRPr="007631A7" w:rsidRDefault="00724574" w:rsidP="004A36C3">
      <w:pPr>
        <w:pStyle w:val="142Tableheading1"/>
        <w:jc w:val="left"/>
      </w:pPr>
      <w:bookmarkStart w:id="278" w:name="_Toc522719017"/>
      <w:bookmarkStart w:id="279" w:name="_Toc522712055"/>
      <w:bookmarkStart w:id="280" w:name="_Toc523830691"/>
      <w:r>
        <w:lastRenderedPageBreak/>
        <w:t>Table 2.2</w:t>
      </w:r>
      <w:r w:rsidR="00140EF0">
        <w:t>.</w:t>
      </w:r>
      <w:r>
        <w:t xml:space="preserve"> Foods contributing to total dietary exposure </w:t>
      </w:r>
      <w:r w:rsidR="005F7230">
        <w:t xml:space="preserve">to </w:t>
      </w:r>
      <w:r>
        <w:t xml:space="preserve">steviol glycosides for the </w:t>
      </w:r>
      <w:r w:rsidRPr="00D72CFA">
        <w:rPr>
          <w:i/>
        </w:rPr>
        <w:t xml:space="preserve">Refined </w:t>
      </w:r>
      <w:r w:rsidR="006076BE" w:rsidRPr="00D72CFA">
        <w:rPr>
          <w:i/>
        </w:rPr>
        <w:t>extension of use</w:t>
      </w:r>
      <w:r w:rsidR="006076BE">
        <w:t xml:space="preserve"> </w:t>
      </w:r>
      <w:r>
        <w:t>Dietary Exposure Scenario</w:t>
      </w:r>
      <w:bookmarkEnd w:id="278"/>
      <w:bookmarkEnd w:id="279"/>
      <w:bookmarkEnd w:id="280"/>
    </w:p>
    <w:tbl>
      <w:tblPr>
        <w:tblStyle w:val="Table"/>
        <w:tblW w:w="0" w:type="auto"/>
        <w:tblLook w:val="04A0" w:firstRow="1" w:lastRow="0" w:firstColumn="1" w:lastColumn="0" w:noHBand="0" w:noVBand="1"/>
        <w:tblDescription w:val="Percentage contribution of foods to steviol glycoside dietary exposure by food category for Australian and New Zealand population groups."/>
      </w:tblPr>
      <w:tblGrid>
        <w:gridCol w:w="1384"/>
        <w:gridCol w:w="4119"/>
        <w:gridCol w:w="1136"/>
        <w:gridCol w:w="1361"/>
        <w:gridCol w:w="1060"/>
      </w:tblGrid>
      <w:tr w:rsidR="00724574" w:rsidRPr="001B7BC7" w14:paraId="5F70AECF" w14:textId="77777777" w:rsidTr="0032102D">
        <w:trPr>
          <w:cnfStyle w:val="100000000000" w:firstRow="1" w:lastRow="0" w:firstColumn="0" w:lastColumn="0" w:oddVBand="0" w:evenVBand="0" w:oddHBand="0" w:evenHBand="0" w:firstRowFirstColumn="0" w:firstRowLastColumn="0" w:lastRowFirstColumn="0" w:lastRowLastColumn="0"/>
          <w:trHeight w:val="485"/>
          <w:tblHeader/>
        </w:trPr>
        <w:tc>
          <w:tcPr>
            <w:tcW w:w="2108" w:type="dxa"/>
            <w:vMerge w:val="restart"/>
            <w:tcBorders>
              <w:top w:val="single" w:sz="4" w:space="0" w:color="auto"/>
              <w:left w:val="single" w:sz="4" w:space="0" w:color="auto"/>
              <w:bottom w:val="single" w:sz="4" w:space="0" w:color="auto"/>
              <w:right w:val="single" w:sz="4" w:space="0" w:color="auto"/>
            </w:tcBorders>
            <w:vAlign w:val="bottom"/>
            <w:hideMark/>
          </w:tcPr>
          <w:p w14:paraId="605D23B3" w14:textId="77777777" w:rsidR="00724574" w:rsidRPr="001B7BC7" w:rsidRDefault="00724574" w:rsidP="001B7BC7">
            <w:pPr>
              <w:spacing w:beforeLines="60" w:before="144" w:afterLines="60" w:after="144"/>
              <w:jc w:val="center"/>
              <w:rPr>
                <w:rFonts w:cs="Arial"/>
                <w:bCs/>
                <w:sz w:val="20"/>
                <w:szCs w:val="20"/>
              </w:rPr>
            </w:pPr>
            <w:r w:rsidRPr="001B7BC7">
              <w:rPr>
                <w:rFonts w:cs="Arial"/>
                <w:bCs/>
                <w:sz w:val="20"/>
                <w:szCs w:val="20"/>
              </w:rPr>
              <w:t>Harvest Classification Code</w:t>
            </w:r>
          </w:p>
        </w:tc>
        <w:tc>
          <w:tcPr>
            <w:tcW w:w="6531" w:type="dxa"/>
            <w:vMerge w:val="restart"/>
            <w:tcBorders>
              <w:top w:val="single" w:sz="4" w:space="0" w:color="auto"/>
              <w:left w:val="single" w:sz="4" w:space="0" w:color="auto"/>
              <w:bottom w:val="single" w:sz="4" w:space="0" w:color="auto"/>
              <w:right w:val="single" w:sz="4" w:space="0" w:color="auto"/>
            </w:tcBorders>
            <w:vAlign w:val="bottom"/>
            <w:hideMark/>
          </w:tcPr>
          <w:p w14:paraId="702F76AC" w14:textId="77777777" w:rsidR="00724574" w:rsidRPr="001B7BC7" w:rsidRDefault="00724574" w:rsidP="001B7BC7">
            <w:pPr>
              <w:spacing w:beforeLines="60" w:before="144" w:afterLines="60" w:after="144"/>
              <w:jc w:val="center"/>
              <w:rPr>
                <w:rFonts w:cs="Arial"/>
                <w:bCs/>
                <w:sz w:val="20"/>
                <w:szCs w:val="20"/>
              </w:rPr>
            </w:pPr>
            <w:r w:rsidRPr="001B7BC7">
              <w:rPr>
                <w:rFonts w:cs="Arial"/>
                <w:bCs/>
                <w:sz w:val="20"/>
                <w:szCs w:val="20"/>
              </w:rPr>
              <w:t>Harvest Classification Name</w:t>
            </w:r>
          </w:p>
        </w:tc>
        <w:tc>
          <w:tcPr>
            <w:tcW w:w="5353" w:type="dxa"/>
            <w:gridSpan w:val="3"/>
            <w:tcBorders>
              <w:top w:val="single" w:sz="4" w:space="0" w:color="auto"/>
              <w:left w:val="single" w:sz="4" w:space="0" w:color="auto"/>
              <w:bottom w:val="single" w:sz="4" w:space="0" w:color="auto"/>
              <w:right w:val="single" w:sz="4" w:space="0" w:color="auto"/>
            </w:tcBorders>
            <w:vAlign w:val="bottom"/>
            <w:hideMark/>
          </w:tcPr>
          <w:p w14:paraId="67E88CDB" w14:textId="77777777" w:rsidR="00724574" w:rsidRPr="001B7BC7" w:rsidRDefault="00724574" w:rsidP="001B7BC7">
            <w:pPr>
              <w:spacing w:beforeLines="60" w:before="144" w:afterLines="60" w:after="144"/>
              <w:jc w:val="center"/>
              <w:rPr>
                <w:rFonts w:cs="Arial"/>
                <w:bCs/>
                <w:sz w:val="20"/>
                <w:szCs w:val="20"/>
              </w:rPr>
            </w:pPr>
            <w:r w:rsidRPr="001B7BC7">
              <w:rPr>
                <w:rFonts w:cs="Arial"/>
                <w:bCs/>
                <w:sz w:val="20"/>
                <w:szCs w:val="20"/>
              </w:rPr>
              <w:t>Contribution to total dietary exposure (%)</w:t>
            </w:r>
          </w:p>
        </w:tc>
      </w:tr>
      <w:tr w:rsidR="00724574" w:rsidRPr="001B7BC7" w14:paraId="0D245B4F" w14:textId="77777777" w:rsidTr="0032102D">
        <w:trPr>
          <w:cnfStyle w:val="100000000000" w:firstRow="1" w:lastRow="0" w:firstColumn="0" w:lastColumn="0" w:oddVBand="0" w:evenVBand="0" w:oddHBand="0" w:evenHBand="0" w:firstRowFirstColumn="0" w:firstRowLastColumn="0" w:lastRowFirstColumn="0" w:lastRowLastColumn="0"/>
          <w:trHeight w:val="485"/>
          <w:tblHeader/>
        </w:trPr>
        <w:tc>
          <w:tcPr>
            <w:tcW w:w="2108" w:type="dxa"/>
            <w:vMerge/>
            <w:tcBorders>
              <w:top w:val="single" w:sz="4" w:space="0" w:color="auto"/>
              <w:left w:val="single" w:sz="4" w:space="0" w:color="auto"/>
              <w:bottom w:val="single" w:sz="4" w:space="0" w:color="auto"/>
              <w:right w:val="single" w:sz="4" w:space="0" w:color="auto"/>
            </w:tcBorders>
            <w:vAlign w:val="bottom"/>
          </w:tcPr>
          <w:p w14:paraId="00EF21B5" w14:textId="77777777" w:rsidR="00724574" w:rsidRPr="001B7BC7" w:rsidRDefault="00724574" w:rsidP="001B7BC7">
            <w:pPr>
              <w:spacing w:beforeLines="60" w:before="144" w:afterLines="60" w:after="144"/>
              <w:jc w:val="center"/>
              <w:rPr>
                <w:rFonts w:cs="Arial"/>
                <w:b w:val="0"/>
                <w:bCs/>
                <w:sz w:val="20"/>
                <w:szCs w:val="20"/>
              </w:rPr>
            </w:pPr>
          </w:p>
        </w:tc>
        <w:tc>
          <w:tcPr>
            <w:tcW w:w="6531" w:type="dxa"/>
            <w:vMerge/>
            <w:tcBorders>
              <w:top w:val="single" w:sz="4" w:space="0" w:color="auto"/>
              <w:left w:val="single" w:sz="4" w:space="0" w:color="auto"/>
              <w:bottom w:val="single" w:sz="4" w:space="0" w:color="auto"/>
              <w:right w:val="single" w:sz="4" w:space="0" w:color="auto"/>
            </w:tcBorders>
            <w:vAlign w:val="bottom"/>
          </w:tcPr>
          <w:p w14:paraId="70ECBC72" w14:textId="77777777" w:rsidR="00724574" w:rsidRPr="001B7BC7" w:rsidRDefault="00724574" w:rsidP="001B7BC7">
            <w:pPr>
              <w:spacing w:beforeLines="60" w:before="144" w:afterLines="60" w:after="144"/>
              <w:jc w:val="center"/>
              <w:rPr>
                <w:rFonts w:cs="Arial"/>
                <w:b w:val="0"/>
                <w:bCs/>
                <w:sz w:val="20"/>
                <w:szCs w:val="20"/>
              </w:rPr>
            </w:pPr>
          </w:p>
        </w:tc>
        <w:tc>
          <w:tcPr>
            <w:tcW w:w="1704" w:type="dxa"/>
            <w:tcBorders>
              <w:top w:val="single" w:sz="4" w:space="0" w:color="auto"/>
              <w:left w:val="single" w:sz="4" w:space="0" w:color="auto"/>
              <w:bottom w:val="single" w:sz="4" w:space="0" w:color="auto"/>
              <w:right w:val="single" w:sz="4" w:space="0" w:color="auto"/>
            </w:tcBorders>
            <w:vAlign w:val="bottom"/>
          </w:tcPr>
          <w:p w14:paraId="45065B40" w14:textId="77777777" w:rsidR="00724574" w:rsidRPr="001B7BC7" w:rsidRDefault="00724574" w:rsidP="001B7BC7">
            <w:pPr>
              <w:spacing w:beforeLines="60" w:before="144" w:afterLines="60" w:after="144"/>
              <w:jc w:val="center"/>
              <w:rPr>
                <w:rFonts w:cs="Arial"/>
                <w:b w:val="0"/>
                <w:bCs/>
                <w:sz w:val="20"/>
                <w:szCs w:val="20"/>
              </w:rPr>
            </w:pPr>
            <w:r w:rsidRPr="001B7BC7">
              <w:rPr>
                <w:rFonts w:cs="Arial"/>
                <w:b w:val="0"/>
                <w:sz w:val="20"/>
                <w:szCs w:val="20"/>
              </w:rPr>
              <w:t>Australia</w:t>
            </w:r>
          </w:p>
        </w:tc>
        <w:tc>
          <w:tcPr>
            <w:tcW w:w="3649" w:type="dxa"/>
            <w:gridSpan w:val="2"/>
            <w:tcBorders>
              <w:top w:val="single" w:sz="4" w:space="0" w:color="auto"/>
              <w:left w:val="single" w:sz="4" w:space="0" w:color="auto"/>
              <w:bottom w:val="single" w:sz="4" w:space="0" w:color="auto"/>
              <w:right w:val="single" w:sz="4" w:space="0" w:color="auto"/>
            </w:tcBorders>
            <w:vAlign w:val="bottom"/>
          </w:tcPr>
          <w:p w14:paraId="1FE7729B" w14:textId="77777777" w:rsidR="00724574" w:rsidRPr="001B7BC7" w:rsidRDefault="00724574" w:rsidP="001B7BC7">
            <w:pPr>
              <w:spacing w:beforeLines="60" w:before="144" w:afterLines="60" w:after="144"/>
              <w:jc w:val="center"/>
              <w:rPr>
                <w:rFonts w:cs="Arial"/>
                <w:b w:val="0"/>
                <w:bCs/>
                <w:sz w:val="20"/>
                <w:szCs w:val="20"/>
              </w:rPr>
            </w:pPr>
            <w:r w:rsidRPr="001B7BC7">
              <w:rPr>
                <w:rFonts w:cs="Arial"/>
                <w:b w:val="0"/>
                <w:sz w:val="20"/>
                <w:szCs w:val="20"/>
              </w:rPr>
              <w:t>New Zealand</w:t>
            </w:r>
          </w:p>
        </w:tc>
      </w:tr>
      <w:tr w:rsidR="00724574" w:rsidRPr="001B7BC7" w14:paraId="5BEF3222" w14:textId="77777777" w:rsidTr="0032102D">
        <w:trPr>
          <w:cnfStyle w:val="100000000000" w:firstRow="1" w:lastRow="0" w:firstColumn="0" w:lastColumn="0" w:oddVBand="0" w:evenVBand="0" w:oddHBand="0" w:evenHBand="0" w:firstRowFirstColumn="0" w:firstRowLastColumn="0" w:lastRowFirstColumn="0" w:lastRowLastColumn="0"/>
          <w:trHeight w:val="485"/>
          <w:tblHeader/>
        </w:trPr>
        <w:tc>
          <w:tcPr>
            <w:tcW w:w="2108" w:type="dxa"/>
            <w:vMerge/>
            <w:tcBorders>
              <w:top w:val="single" w:sz="4" w:space="0" w:color="auto"/>
              <w:left w:val="single" w:sz="4" w:space="0" w:color="auto"/>
              <w:bottom w:val="single" w:sz="4" w:space="0" w:color="auto"/>
              <w:right w:val="single" w:sz="4" w:space="0" w:color="auto"/>
            </w:tcBorders>
            <w:vAlign w:val="bottom"/>
          </w:tcPr>
          <w:p w14:paraId="46CFA59D" w14:textId="77777777" w:rsidR="00724574" w:rsidRPr="001B7BC7" w:rsidRDefault="00724574" w:rsidP="001B7BC7">
            <w:pPr>
              <w:spacing w:beforeLines="60" w:before="144" w:afterLines="60" w:after="144"/>
              <w:jc w:val="center"/>
              <w:rPr>
                <w:rFonts w:cs="Arial"/>
                <w:b w:val="0"/>
                <w:bCs/>
                <w:sz w:val="20"/>
                <w:szCs w:val="20"/>
              </w:rPr>
            </w:pPr>
          </w:p>
        </w:tc>
        <w:tc>
          <w:tcPr>
            <w:tcW w:w="6531" w:type="dxa"/>
            <w:vMerge/>
            <w:tcBorders>
              <w:top w:val="single" w:sz="4" w:space="0" w:color="auto"/>
              <w:left w:val="single" w:sz="4" w:space="0" w:color="auto"/>
              <w:bottom w:val="single" w:sz="4" w:space="0" w:color="auto"/>
              <w:right w:val="single" w:sz="4" w:space="0" w:color="auto"/>
            </w:tcBorders>
            <w:vAlign w:val="bottom"/>
          </w:tcPr>
          <w:p w14:paraId="27114F8E" w14:textId="77777777" w:rsidR="00724574" w:rsidRPr="001B7BC7" w:rsidRDefault="00724574" w:rsidP="001B7BC7">
            <w:pPr>
              <w:spacing w:beforeLines="60" w:before="144" w:afterLines="60" w:after="144"/>
              <w:jc w:val="center"/>
              <w:rPr>
                <w:rFonts w:cs="Arial"/>
                <w:b w:val="0"/>
                <w:bCs/>
                <w:sz w:val="20"/>
                <w:szCs w:val="20"/>
              </w:rPr>
            </w:pPr>
          </w:p>
        </w:tc>
        <w:tc>
          <w:tcPr>
            <w:tcW w:w="1704" w:type="dxa"/>
            <w:tcBorders>
              <w:top w:val="single" w:sz="4" w:space="0" w:color="auto"/>
              <w:left w:val="single" w:sz="4" w:space="0" w:color="auto"/>
              <w:bottom w:val="single" w:sz="4" w:space="0" w:color="auto"/>
              <w:right w:val="single" w:sz="4" w:space="0" w:color="auto"/>
            </w:tcBorders>
            <w:vAlign w:val="bottom"/>
          </w:tcPr>
          <w:p w14:paraId="5E25B40E" w14:textId="77777777" w:rsidR="00724574" w:rsidRPr="001B7BC7" w:rsidRDefault="00724574" w:rsidP="001B7BC7">
            <w:pPr>
              <w:spacing w:beforeLines="60" w:before="144" w:afterLines="60" w:after="144"/>
              <w:jc w:val="center"/>
              <w:rPr>
                <w:rFonts w:cs="Arial"/>
                <w:b w:val="0"/>
                <w:bCs/>
                <w:sz w:val="20"/>
                <w:szCs w:val="20"/>
              </w:rPr>
            </w:pPr>
            <w:r w:rsidRPr="001B7BC7">
              <w:rPr>
                <w:rFonts w:cs="Arial"/>
                <w:b w:val="0"/>
                <w:sz w:val="20"/>
                <w:szCs w:val="20"/>
              </w:rPr>
              <w:t>2+ years</w:t>
            </w:r>
            <w:r w:rsidRPr="001B7BC7">
              <w:rPr>
                <w:rFonts w:cs="Arial"/>
                <w:sz w:val="20"/>
                <w:szCs w:val="20"/>
                <w:vertAlign w:val="superscript"/>
                <w:lang w:eastAsia="en-GB"/>
              </w:rPr>
              <w:sym w:font="Symbol" w:char="F0A5"/>
            </w:r>
          </w:p>
        </w:tc>
        <w:tc>
          <w:tcPr>
            <w:tcW w:w="2068" w:type="dxa"/>
            <w:tcBorders>
              <w:top w:val="single" w:sz="4" w:space="0" w:color="auto"/>
              <w:left w:val="single" w:sz="4" w:space="0" w:color="auto"/>
              <w:bottom w:val="single" w:sz="4" w:space="0" w:color="auto"/>
              <w:right w:val="single" w:sz="4" w:space="0" w:color="auto"/>
            </w:tcBorders>
            <w:vAlign w:val="bottom"/>
          </w:tcPr>
          <w:p w14:paraId="67796323" w14:textId="77777777" w:rsidR="00724574" w:rsidRPr="001B7BC7" w:rsidRDefault="00724574" w:rsidP="001B7BC7">
            <w:pPr>
              <w:spacing w:beforeLines="60" w:before="144" w:afterLines="60" w:after="144"/>
              <w:jc w:val="center"/>
              <w:rPr>
                <w:rFonts w:cs="Arial"/>
                <w:b w:val="0"/>
                <w:sz w:val="20"/>
                <w:szCs w:val="20"/>
              </w:rPr>
            </w:pPr>
            <w:r w:rsidRPr="001B7BC7">
              <w:rPr>
                <w:rFonts w:cs="Arial"/>
                <w:b w:val="0"/>
                <w:sz w:val="20"/>
                <w:szCs w:val="20"/>
              </w:rPr>
              <w:t>5-14years</w:t>
            </w:r>
            <w:r w:rsidRPr="001B7BC7">
              <w:rPr>
                <w:rFonts w:cs="Arial"/>
                <w:sz w:val="20"/>
                <w:szCs w:val="20"/>
                <w:vertAlign w:val="superscript"/>
                <w:lang w:eastAsia="en-GB"/>
              </w:rPr>
              <w:t xml:space="preserve"> ѱ</w:t>
            </w:r>
          </w:p>
        </w:tc>
        <w:tc>
          <w:tcPr>
            <w:tcW w:w="1581" w:type="dxa"/>
            <w:tcBorders>
              <w:top w:val="single" w:sz="4" w:space="0" w:color="auto"/>
              <w:left w:val="single" w:sz="4" w:space="0" w:color="auto"/>
              <w:bottom w:val="single" w:sz="4" w:space="0" w:color="auto"/>
              <w:right w:val="single" w:sz="4" w:space="0" w:color="auto"/>
            </w:tcBorders>
            <w:vAlign w:val="bottom"/>
          </w:tcPr>
          <w:p w14:paraId="36DD1EB1" w14:textId="77777777" w:rsidR="00724574" w:rsidRPr="001B7BC7" w:rsidRDefault="00724574" w:rsidP="001B7BC7">
            <w:pPr>
              <w:spacing w:beforeLines="60" w:before="144" w:afterLines="60" w:after="144"/>
              <w:jc w:val="center"/>
              <w:rPr>
                <w:rFonts w:cs="Arial"/>
                <w:b w:val="0"/>
                <w:sz w:val="20"/>
                <w:szCs w:val="20"/>
              </w:rPr>
            </w:pPr>
            <w:r w:rsidRPr="001B7BC7">
              <w:rPr>
                <w:rFonts w:cs="Arial"/>
                <w:b w:val="0"/>
                <w:sz w:val="20"/>
                <w:szCs w:val="20"/>
              </w:rPr>
              <w:t>15+years</w:t>
            </w:r>
            <w:r w:rsidRPr="001B7BC7">
              <w:rPr>
                <w:rFonts w:cs="Arial"/>
                <w:sz w:val="20"/>
                <w:szCs w:val="20"/>
                <w:lang w:eastAsia="en-GB"/>
              </w:rPr>
              <w:t>*</w:t>
            </w:r>
          </w:p>
        </w:tc>
      </w:tr>
      <w:tr w:rsidR="00724574" w:rsidRPr="001B7BC7" w14:paraId="0FAEB4F5"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tcBorders>
              <w:top w:val="single" w:sz="4" w:space="0" w:color="auto"/>
            </w:tcBorders>
            <w:noWrap/>
            <w:vAlign w:val="bottom"/>
            <w:hideMark/>
          </w:tcPr>
          <w:p w14:paraId="02632749"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1.1.2</w:t>
            </w:r>
          </w:p>
        </w:tc>
        <w:tc>
          <w:tcPr>
            <w:tcW w:w="6531" w:type="dxa"/>
            <w:tcBorders>
              <w:top w:val="single" w:sz="4" w:space="0" w:color="auto"/>
            </w:tcBorders>
            <w:noWrap/>
            <w:vAlign w:val="bottom"/>
            <w:hideMark/>
          </w:tcPr>
          <w:p w14:paraId="30E6C255"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Liquid milk prod &amp; flav liquid milk</w:t>
            </w:r>
          </w:p>
        </w:tc>
        <w:tc>
          <w:tcPr>
            <w:tcW w:w="1704" w:type="dxa"/>
            <w:tcBorders>
              <w:top w:val="single" w:sz="4" w:space="0" w:color="auto"/>
            </w:tcBorders>
            <w:noWrap/>
            <w:vAlign w:val="bottom"/>
            <w:hideMark/>
          </w:tcPr>
          <w:p w14:paraId="1FBA142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tcBorders>
              <w:top w:val="single" w:sz="4" w:space="0" w:color="auto"/>
            </w:tcBorders>
            <w:noWrap/>
            <w:vAlign w:val="bottom"/>
            <w:hideMark/>
          </w:tcPr>
          <w:p w14:paraId="40A4859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5</w:t>
            </w:r>
          </w:p>
        </w:tc>
        <w:tc>
          <w:tcPr>
            <w:tcW w:w="1581" w:type="dxa"/>
            <w:tcBorders>
              <w:top w:val="single" w:sz="4" w:space="0" w:color="auto"/>
            </w:tcBorders>
            <w:noWrap/>
            <w:vAlign w:val="bottom"/>
            <w:hideMark/>
          </w:tcPr>
          <w:p w14:paraId="02A5049D"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r>
      <w:tr w:rsidR="00724574" w:rsidRPr="001B7BC7" w14:paraId="69DCC07E"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3C60DE24"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1.2.2</w:t>
            </w:r>
          </w:p>
        </w:tc>
        <w:tc>
          <w:tcPr>
            <w:tcW w:w="6531" w:type="dxa"/>
            <w:noWrap/>
            <w:vAlign w:val="bottom"/>
            <w:hideMark/>
          </w:tcPr>
          <w:p w14:paraId="6B36F254"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Ferm &amp; renn milk prod, flavoured</w:t>
            </w:r>
          </w:p>
        </w:tc>
        <w:tc>
          <w:tcPr>
            <w:tcW w:w="1704" w:type="dxa"/>
            <w:noWrap/>
            <w:vAlign w:val="bottom"/>
            <w:hideMark/>
          </w:tcPr>
          <w:p w14:paraId="35FB65E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c>
          <w:tcPr>
            <w:tcW w:w="2068" w:type="dxa"/>
            <w:noWrap/>
            <w:vAlign w:val="bottom"/>
            <w:hideMark/>
          </w:tcPr>
          <w:p w14:paraId="0880D2E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c>
          <w:tcPr>
            <w:tcW w:w="1581" w:type="dxa"/>
            <w:noWrap/>
            <w:vAlign w:val="bottom"/>
            <w:hideMark/>
          </w:tcPr>
          <w:p w14:paraId="5127405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2</w:t>
            </w:r>
          </w:p>
        </w:tc>
      </w:tr>
      <w:tr w:rsidR="00724574" w:rsidRPr="008E7BE8" w14:paraId="5B4141FD" w14:textId="77777777" w:rsidTr="008E7BE8">
        <w:trPr>
          <w:cnfStyle w:val="000000100000" w:firstRow="0" w:lastRow="0" w:firstColumn="0" w:lastColumn="0" w:oddVBand="0" w:evenVBand="0" w:oddHBand="1" w:evenHBand="0" w:firstRowFirstColumn="0" w:firstRowLastColumn="0" w:lastRowFirstColumn="0" w:lastRowLastColumn="0"/>
          <w:trHeight w:val="419"/>
        </w:trPr>
        <w:tc>
          <w:tcPr>
            <w:tcW w:w="2108" w:type="dxa"/>
            <w:noWrap/>
            <w:vAlign w:val="bottom"/>
            <w:hideMark/>
          </w:tcPr>
          <w:p w14:paraId="54D18F05"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11.4</w:t>
            </w:r>
          </w:p>
        </w:tc>
        <w:tc>
          <w:tcPr>
            <w:tcW w:w="6531" w:type="dxa"/>
            <w:noWrap/>
            <w:vAlign w:val="bottom"/>
            <w:hideMark/>
          </w:tcPr>
          <w:p w14:paraId="06688637" w14:textId="77777777" w:rsidR="00724574" w:rsidRPr="008E7BE8" w:rsidRDefault="00724574" w:rsidP="003B2543">
            <w:pPr>
              <w:spacing w:before="60" w:after="60"/>
              <w:rPr>
                <w:rFonts w:cs="Arial"/>
                <w:color w:val="000000"/>
                <w:sz w:val="20"/>
                <w:szCs w:val="20"/>
              </w:rPr>
            </w:pPr>
            <w:r w:rsidRPr="008E7BE8">
              <w:rPr>
                <w:rFonts w:cs="Arial"/>
                <w:color w:val="000000"/>
                <w:sz w:val="20"/>
                <w:szCs w:val="20"/>
              </w:rPr>
              <w:t>Tabletop sweeteners</w:t>
            </w:r>
          </w:p>
        </w:tc>
        <w:tc>
          <w:tcPr>
            <w:tcW w:w="1704" w:type="dxa"/>
            <w:noWrap/>
            <w:vAlign w:val="bottom"/>
            <w:hideMark/>
          </w:tcPr>
          <w:p w14:paraId="72F1A5D3" w14:textId="77777777" w:rsidR="00724574" w:rsidRPr="008E7BE8" w:rsidRDefault="00724574" w:rsidP="008E7BE8">
            <w:pPr>
              <w:spacing w:before="60" w:after="60"/>
              <w:jc w:val="center"/>
              <w:rPr>
                <w:rFonts w:cs="Arial"/>
                <w:color w:val="000000"/>
                <w:sz w:val="20"/>
                <w:szCs w:val="20"/>
              </w:rPr>
            </w:pPr>
            <w:r w:rsidRPr="008E7BE8">
              <w:rPr>
                <w:rFonts w:cs="Arial"/>
                <w:color w:val="000000"/>
                <w:sz w:val="20"/>
                <w:szCs w:val="20"/>
              </w:rPr>
              <w:t>31</w:t>
            </w:r>
          </w:p>
        </w:tc>
        <w:tc>
          <w:tcPr>
            <w:tcW w:w="2068" w:type="dxa"/>
            <w:noWrap/>
            <w:vAlign w:val="bottom"/>
            <w:hideMark/>
          </w:tcPr>
          <w:p w14:paraId="3B73722F" w14:textId="77777777" w:rsidR="00724574" w:rsidRPr="008E7BE8" w:rsidRDefault="00724574" w:rsidP="008E7BE8">
            <w:pPr>
              <w:spacing w:before="60" w:after="60"/>
              <w:jc w:val="center"/>
              <w:rPr>
                <w:rFonts w:cs="Arial"/>
                <w:color w:val="000000"/>
                <w:sz w:val="20"/>
                <w:szCs w:val="20"/>
              </w:rPr>
            </w:pPr>
            <w:r w:rsidRPr="008E7BE8">
              <w:rPr>
                <w:rFonts w:cs="Arial"/>
                <w:color w:val="000000"/>
                <w:sz w:val="20"/>
                <w:szCs w:val="20"/>
              </w:rPr>
              <w:t>1</w:t>
            </w:r>
          </w:p>
        </w:tc>
        <w:tc>
          <w:tcPr>
            <w:tcW w:w="1581" w:type="dxa"/>
            <w:noWrap/>
            <w:vAlign w:val="bottom"/>
            <w:hideMark/>
          </w:tcPr>
          <w:p w14:paraId="56F04984" w14:textId="77777777" w:rsidR="00724574" w:rsidRPr="008E7BE8" w:rsidRDefault="00724574" w:rsidP="008E7BE8">
            <w:pPr>
              <w:spacing w:before="60" w:after="60"/>
              <w:jc w:val="center"/>
              <w:rPr>
                <w:rFonts w:cs="Arial"/>
                <w:color w:val="000000"/>
                <w:sz w:val="20"/>
                <w:szCs w:val="20"/>
              </w:rPr>
            </w:pPr>
            <w:r w:rsidRPr="008E7BE8">
              <w:rPr>
                <w:rFonts w:cs="Arial"/>
                <w:color w:val="000000"/>
                <w:sz w:val="20"/>
                <w:szCs w:val="20"/>
              </w:rPr>
              <w:t>18</w:t>
            </w:r>
          </w:p>
        </w:tc>
      </w:tr>
      <w:tr w:rsidR="00724574" w:rsidRPr="001B7BC7" w14:paraId="76983A22"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718D7C78"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13.3</w:t>
            </w:r>
          </w:p>
        </w:tc>
        <w:tc>
          <w:tcPr>
            <w:tcW w:w="6531" w:type="dxa"/>
            <w:noWrap/>
            <w:vAlign w:val="bottom"/>
            <w:hideMark/>
          </w:tcPr>
          <w:p w14:paraId="5BED0792"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Formula meal replacements &amp; formulated supp foods</w:t>
            </w:r>
          </w:p>
        </w:tc>
        <w:tc>
          <w:tcPr>
            <w:tcW w:w="1704" w:type="dxa"/>
            <w:noWrap/>
            <w:vAlign w:val="bottom"/>
            <w:hideMark/>
          </w:tcPr>
          <w:p w14:paraId="2F484F2C"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c>
          <w:tcPr>
            <w:tcW w:w="2068" w:type="dxa"/>
            <w:noWrap/>
            <w:vAlign w:val="bottom"/>
            <w:hideMark/>
          </w:tcPr>
          <w:p w14:paraId="04120A6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5</w:t>
            </w:r>
          </w:p>
        </w:tc>
        <w:tc>
          <w:tcPr>
            <w:tcW w:w="1581" w:type="dxa"/>
            <w:noWrap/>
            <w:vAlign w:val="bottom"/>
            <w:hideMark/>
          </w:tcPr>
          <w:p w14:paraId="4324D1FA"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2</w:t>
            </w:r>
          </w:p>
        </w:tc>
      </w:tr>
      <w:tr w:rsidR="00724574" w:rsidRPr="001B7BC7" w14:paraId="1568EDDD"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48FB3425"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13.4</w:t>
            </w:r>
          </w:p>
        </w:tc>
        <w:tc>
          <w:tcPr>
            <w:tcW w:w="6531" w:type="dxa"/>
            <w:noWrap/>
            <w:vAlign w:val="bottom"/>
            <w:hideMark/>
          </w:tcPr>
          <w:p w14:paraId="680C4AC7"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Formulated supplementary sports foods</w:t>
            </w:r>
          </w:p>
        </w:tc>
        <w:tc>
          <w:tcPr>
            <w:tcW w:w="1704" w:type="dxa"/>
            <w:noWrap/>
            <w:vAlign w:val="bottom"/>
            <w:hideMark/>
          </w:tcPr>
          <w:p w14:paraId="3A9D9E3E"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noWrap/>
            <w:vAlign w:val="bottom"/>
            <w:hideMark/>
          </w:tcPr>
          <w:p w14:paraId="4BCC843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7FF92E0F"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0CFE88CE"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7579E6DD"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14.1.2.1</w:t>
            </w:r>
          </w:p>
        </w:tc>
        <w:tc>
          <w:tcPr>
            <w:tcW w:w="6531" w:type="dxa"/>
            <w:noWrap/>
            <w:vAlign w:val="bottom"/>
            <w:hideMark/>
          </w:tcPr>
          <w:p w14:paraId="609A933C"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Fruit &amp; vegetable juices</w:t>
            </w:r>
          </w:p>
        </w:tc>
        <w:tc>
          <w:tcPr>
            <w:tcW w:w="1704" w:type="dxa"/>
            <w:noWrap/>
            <w:vAlign w:val="bottom"/>
            <w:hideMark/>
          </w:tcPr>
          <w:p w14:paraId="250F54D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noWrap/>
            <w:vAlign w:val="bottom"/>
            <w:hideMark/>
          </w:tcPr>
          <w:p w14:paraId="58359E9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1581" w:type="dxa"/>
            <w:noWrap/>
            <w:vAlign w:val="bottom"/>
            <w:hideMark/>
          </w:tcPr>
          <w:p w14:paraId="1C12817E"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r>
      <w:tr w:rsidR="00724574" w:rsidRPr="001B7BC7" w14:paraId="40261EFD"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1BD30BFF"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14.1.2.2.1</w:t>
            </w:r>
          </w:p>
        </w:tc>
        <w:tc>
          <w:tcPr>
            <w:tcW w:w="6531" w:type="dxa"/>
            <w:noWrap/>
            <w:vAlign w:val="bottom"/>
            <w:hideMark/>
          </w:tcPr>
          <w:p w14:paraId="0A800238"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Fruit drink</w:t>
            </w:r>
          </w:p>
        </w:tc>
        <w:tc>
          <w:tcPr>
            <w:tcW w:w="1704" w:type="dxa"/>
            <w:noWrap/>
            <w:vAlign w:val="bottom"/>
            <w:hideMark/>
          </w:tcPr>
          <w:p w14:paraId="6BE1C3E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7</w:t>
            </w:r>
          </w:p>
        </w:tc>
        <w:tc>
          <w:tcPr>
            <w:tcW w:w="2068" w:type="dxa"/>
            <w:noWrap/>
            <w:vAlign w:val="bottom"/>
            <w:hideMark/>
          </w:tcPr>
          <w:p w14:paraId="4F248F04"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5</w:t>
            </w:r>
          </w:p>
        </w:tc>
        <w:tc>
          <w:tcPr>
            <w:tcW w:w="1581" w:type="dxa"/>
            <w:noWrap/>
            <w:vAlign w:val="bottom"/>
            <w:hideMark/>
          </w:tcPr>
          <w:p w14:paraId="488F651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r>
      <w:tr w:rsidR="00724574" w:rsidRPr="001B7BC7" w14:paraId="05C9E7CB"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117F9E83"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14.1.2.2.2</w:t>
            </w:r>
          </w:p>
        </w:tc>
        <w:tc>
          <w:tcPr>
            <w:tcW w:w="6531" w:type="dxa"/>
            <w:noWrap/>
            <w:vAlign w:val="bottom"/>
            <w:hideMark/>
          </w:tcPr>
          <w:p w14:paraId="67F0CFD2"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Low joule fruit &amp; vegetable juice products</w:t>
            </w:r>
          </w:p>
        </w:tc>
        <w:tc>
          <w:tcPr>
            <w:tcW w:w="1704" w:type="dxa"/>
            <w:noWrap/>
            <w:vAlign w:val="bottom"/>
            <w:hideMark/>
          </w:tcPr>
          <w:p w14:paraId="1C61890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64D28DEF"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7C9BF31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23987683"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2DCE04D4"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14.1.3</w:t>
            </w:r>
          </w:p>
        </w:tc>
        <w:tc>
          <w:tcPr>
            <w:tcW w:w="6531" w:type="dxa"/>
            <w:noWrap/>
            <w:vAlign w:val="bottom"/>
            <w:hideMark/>
          </w:tcPr>
          <w:p w14:paraId="539C07B1"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Water based flavoured drinks</w:t>
            </w:r>
          </w:p>
        </w:tc>
        <w:tc>
          <w:tcPr>
            <w:tcW w:w="1704" w:type="dxa"/>
            <w:noWrap/>
            <w:vAlign w:val="bottom"/>
            <w:hideMark/>
          </w:tcPr>
          <w:p w14:paraId="23DFE08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10</w:t>
            </w:r>
          </w:p>
        </w:tc>
        <w:tc>
          <w:tcPr>
            <w:tcW w:w="2068" w:type="dxa"/>
            <w:noWrap/>
            <w:vAlign w:val="bottom"/>
            <w:hideMark/>
          </w:tcPr>
          <w:p w14:paraId="5EB4681D"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18</w:t>
            </w:r>
          </w:p>
        </w:tc>
        <w:tc>
          <w:tcPr>
            <w:tcW w:w="1581" w:type="dxa"/>
            <w:noWrap/>
            <w:vAlign w:val="bottom"/>
            <w:hideMark/>
          </w:tcPr>
          <w:p w14:paraId="4A0B03AA"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9</w:t>
            </w:r>
          </w:p>
        </w:tc>
      </w:tr>
      <w:tr w:rsidR="00724574" w:rsidRPr="001B7BC7" w14:paraId="3BB219BF"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2B074CB1"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14.1.4</w:t>
            </w:r>
          </w:p>
        </w:tc>
        <w:tc>
          <w:tcPr>
            <w:tcW w:w="6531" w:type="dxa"/>
            <w:noWrap/>
            <w:vAlign w:val="bottom"/>
            <w:hideMark/>
          </w:tcPr>
          <w:p w14:paraId="5215F89E"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Formulated beverages</w:t>
            </w:r>
          </w:p>
        </w:tc>
        <w:tc>
          <w:tcPr>
            <w:tcW w:w="1704" w:type="dxa"/>
            <w:noWrap/>
            <w:vAlign w:val="bottom"/>
            <w:hideMark/>
          </w:tcPr>
          <w:p w14:paraId="2FEFA8D4"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182CA84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2</w:t>
            </w:r>
          </w:p>
        </w:tc>
        <w:tc>
          <w:tcPr>
            <w:tcW w:w="1581" w:type="dxa"/>
            <w:noWrap/>
            <w:vAlign w:val="bottom"/>
            <w:hideMark/>
          </w:tcPr>
          <w:p w14:paraId="04408EC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24F08A51"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3A9289BB"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14.1.5</w:t>
            </w:r>
          </w:p>
        </w:tc>
        <w:tc>
          <w:tcPr>
            <w:tcW w:w="6531" w:type="dxa"/>
            <w:noWrap/>
            <w:vAlign w:val="bottom"/>
            <w:hideMark/>
          </w:tcPr>
          <w:p w14:paraId="22BAA081"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Coffee (or substitute), tea, herbal infusion &amp; similar</w:t>
            </w:r>
          </w:p>
        </w:tc>
        <w:tc>
          <w:tcPr>
            <w:tcW w:w="1704" w:type="dxa"/>
            <w:noWrap/>
            <w:vAlign w:val="bottom"/>
            <w:hideMark/>
          </w:tcPr>
          <w:p w14:paraId="6CAC38F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18</w:t>
            </w:r>
          </w:p>
        </w:tc>
        <w:tc>
          <w:tcPr>
            <w:tcW w:w="2068" w:type="dxa"/>
            <w:noWrap/>
            <w:vAlign w:val="bottom"/>
            <w:hideMark/>
          </w:tcPr>
          <w:p w14:paraId="2612869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2</w:t>
            </w:r>
          </w:p>
        </w:tc>
        <w:tc>
          <w:tcPr>
            <w:tcW w:w="1581" w:type="dxa"/>
            <w:noWrap/>
            <w:vAlign w:val="bottom"/>
            <w:hideMark/>
          </w:tcPr>
          <w:p w14:paraId="2FC147E9"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34</w:t>
            </w:r>
          </w:p>
        </w:tc>
      </w:tr>
      <w:tr w:rsidR="00724574" w:rsidRPr="001B7BC7" w14:paraId="6ABA00B2"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3AF702A5"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14.1.7.1</w:t>
            </w:r>
          </w:p>
        </w:tc>
        <w:tc>
          <w:tcPr>
            <w:tcW w:w="6531" w:type="dxa"/>
            <w:noWrap/>
            <w:vAlign w:val="bottom"/>
            <w:hideMark/>
          </w:tcPr>
          <w:p w14:paraId="312D36C7"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Soy beverage, unflavoured</w:t>
            </w:r>
          </w:p>
        </w:tc>
        <w:tc>
          <w:tcPr>
            <w:tcW w:w="1704" w:type="dxa"/>
            <w:noWrap/>
            <w:vAlign w:val="bottom"/>
            <w:hideMark/>
          </w:tcPr>
          <w:p w14:paraId="2E9B4B0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noWrap/>
            <w:vAlign w:val="bottom"/>
            <w:hideMark/>
          </w:tcPr>
          <w:p w14:paraId="169A4A79"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3827D24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r>
      <w:tr w:rsidR="00724574" w:rsidRPr="001B7BC7" w14:paraId="22185748"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7CB99AE1"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14.1.7.2</w:t>
            </w:r>
          </w:p>
        </w:tc>
        <w:tc>
          <w:tcPr>
            <w:tcW w:w="6531" w:type="dxa"/>
            <w:noWrap/>
            <w:vAlign w:val="bottom"/>
            <w:hideMark/>
          </w:tcPr>
          <w:p w14:paraId="7777B15B"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Soy beverage, flavoured</w:t>
            </w:r>
          </w:p>
        </w:tc>
        <w:tc>
          <w:tcPr>
            <w:tcW w:w="1704" w:type="dxa"/>
            <w:noWrap/>
            <w:vAlign w:val="bottom"/>
            <w:hideMark/>
          </w:tcPr>
          <w:p w14:paraId="45DBE79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204F9B1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28FD8D09"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2A128BEA"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1AD923CD"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20.2.1.1</w:t>
            </w:r>
          </w:p>
        </w:tc>
        <w:tc>
          <w:tcPr>
            <w:tcW w:w="6531" w:type="dxa"/>
            <w:noWrap/>
            <w:vAlign w:val="bottom"/>
            <w:hideMark/>
          </w:tcPr>
          <w:p w14:paraId="173F1D42"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Desserts, dairy</w:t>
            </w:r>
          </w:p>
        </w:tc>
        <w:tc>
          <w:tcPr>
            <w:tcW w:w="1704" w:type="dxa"/>
            <w:noWrap/>
            <w:vAlign w:val="bottom"/>
            <w:hideMark/>
          </w:tcPr>
          <w:p w14:paraId="6B521FC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noWrap/>
            <w:vAlign w:val="bottom"/>
            <w:hideMark/>
          </w:tcPr>
          <w:p w14:paraId="4899F4FA"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4</w:t>
            </w:r>
          </w:p>
        </w:tc>
        <w:tc>
          <w:tcPr>
            <w:tcW w:w="1581" w:type="dxa"/>
            <w:noWrap/>
            <w:vAlign w:val="bottom"/>
            <w:hideMark/>
          </w:tcPr>
          <w:p w14:paraId="5557F303"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r>
      <w:tr w:rsidR="00724574" w:rsidRPr="001B7BC7" w14:paraId="74410268"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248E50F9"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20.2.1.1.1.2</w:t>
            </w:r>
          </w:p>
        </w:tc>
        <w:tc>
          <w:tcPr>
            <w:tcW w:w="6531" w:type="dxa"/>
            <w:noWrap/>
            <w:vAlign w:val="bottom"/>
            <w:hideMark/>
          </w:tcPr>
          <w:p w14:paraId="02C52672"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Desserts, dairy, choc; custard &amp; blanc mange mix/powd</w:t>
            </w:r>
          </w:p>
        </w:tc>
        <w:tc>
          <w:tcPr>
            <w:tcW w:w="1704" w:type="dxa"/>
            <w:noWrap/>
            <w:vAlign w:val="bottom"/>
            <w:hideMark/>
          </w:tcPr>
          <w:p w14:paraId="6060898D"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7289D18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2C37D05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0BA17DEB"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7D063754"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20.2.1.1.3.2</w:t>
            </w:r>
          </w:p>
        </w:tc>
        <w:tc>
          <w:tcPr>
            <w:tcW w:w="6531" w:type="dxa"/>
            <w:noWrap/>
            <w:vAlign w:val="bottom"/>
            <w:hideMark/>
          </w:tcPr>
          <w:p w14:paraId="728592EA"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Desserts, dairy, no choc/coffee; custard &amp; blanc mange mix/powd</w:t>
            </w:r>
          </w:p>
        </w:tc>
        <w:tc>
          <w:tcPr>
            <w:tcW w:w="1704" w:type="dxa"/>
            <w:noWrap/>
            <w:vAlign w:val="bottom"/>
            <w:hideMark/>
          </w:tcPr>
          <w:p w14:paraId="09620F86"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11FA4C8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4A572133"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5B6BF9AD"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4D68526C"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20.2.1.1.3.2.1</w:t>
            </w:r>
          </w:p>
        </w:tc>
        <w:tc>
          <w:tcPr>
            <w:tcW w:w="6531" w:type="dxa"/>
            <w:noWrap/>
            <w:vAlign w:val="bottom"/>
            <w:hideMark/>
          </w:tcPr>
          <w:p w14:paraId="362EDFF6"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Desserts, dairy, no choc/coffee; custard mix, dry</w:t>
            </w:r>
          </w:p>
        </w:tc>
        <w:tc>
          <w:tcPr>
            <w:tcW w:w="1704" w:type="dxa"/>
            <w:noWrap/>
            <w:vAlign w:val="bottom"/>
            <w:hideMark/>
          </w:tcPr>
          <w:p w14:paraId="3F52BB5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63E972FC"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0DED15DA"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48B27FE6"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58564580"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20.2.1.2</w:t>
            </w:r>
          </w:p>
        </w:tc>
        <w:tc>
          <w:tcPr>
            <w:tcW w:w="6531" w:type="dxa"/>
            <w:noWrap/>
            <w:vAlign w:val="bottom"/>
            <w:hideMark/>
          </w:tcPr>
          <w:p w14:paraId="00B52FAC"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Desserts, no-dairy</w:t>
            </w:r>
          </w:p>
        </w:tc>
        <w:tc>
          <w:tcPr>
            <w:tcW w:w="1704" w:type="dxa"/>
            <w:noWrap/>
            <w:vAlign w:val="bottom"/>
            <w:hideMark/>
          </w:tcPr>
          <w:p w14:paraId="41F289BD"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109AF09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230D1A3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07353606"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02E179F1"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20.2.1.2.3.1</w:t>
            </w:r>
          </w:p>
        </w:tc>
        <w:tc>
          <w:tcPr>
            <w:tcW w:w="6531" w:type="dxa"/>
            <w:noWrap/>
            <w:vAlign w:val="bottom"/>
            <w:hideMark/>
          </w:tcPr>
          <w:p w14:paraId="1F0FCECC"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Desserts, no-dairy, no choc/coffee; jelly</w:t>
            </w:r>
          </w:p>
        </w:tc>
        <w:tc>
          <w:tcPr>
            <w:tcW w:w="1704" w:type="dxa"/>
            <w:noWrap/>
            <w:vAlign w:val="bottom"/>
            <w:hideMark/>
          </w:tcPr>
          <w:p w14:paraId="3C7D1D16"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26D1AF9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5549B1C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4A1B6A5C"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1F662FCA"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20.2.6.1</w:t>
            </w:r>
          </w:p>
        </w:tc>
        <w:tc>
          <w:tcPr>
            <w:tcW w:w="6531" w:type="dxa"/>
            <w:noWrap/>
            <w:vAlign w:val="bottom"/>
            <w:hideMark/>
          </w:tcPr>
          <w:p w14:paraId="2E442749"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Sauces &amp; syrups, sweet</w:t>
            </w:r>
          </w:p>
        </w:tc>
        <w:tc>
          <w:tcPr>
            <w:tcW w:w="1704" w:type="dxa"/>
            <w:noWrap/>
            <w:vAlign w:val="bottom"/>
            <w:hideMark/>
          </w:tcPr>
          <w:p w14:paraId="07A3D944"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33D2AC9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3434011C"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2464101A"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18CC2770"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20.2.6.2</w:t>
            </w:r>
          </w:p>
        </w:tc>
        <w:tc>
          <w:tcPr>
            <w:tcW w:w="6531" w:type="dxa"/>
            <w:noWrap/>
            <w:vAlign w:val="bottom"/>
            <w:hideMark/>
          </w:tcPr>
          <w:p w14:paraId="6B11A942"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Gravy, sauces &amp; condiments</w:t>
            </w:r>
          </w:p>
        </w:tc>
        <w:tc>
          <w:tcPr>
            <w:tcW w:w="1704" w:type="dxa"/>
            <w:noWrap/>
            <w:vAlign w:val="bottom"/>
            <w:hideMark/>
          </w:tcPr>
          <w:p w14:paraId="1F974450"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10</w:t>
            </w:r>
          </w:p>
        </w:tc>
        <w:tc>
          <w:tcPr>
            <w:tcW w:w="2068" w:type="dxa"/>
            <w:noWrap/>
            <w:vAlign w:val="bottom"/>
            <w:hideMark/>
          </w:tcPr>
          <w:p w14:paraId="092463F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11</w:t>
            </w:r>
          </w:p>
        </w:tc>
        <w:tc>
          <w:tcPr>
            <w:tcW w:w="1581" w:type="dxa"/>
            <w:noWrap/>
            <w:vAlign w:val="bottom"/>
            <w:hideMark/>
          </w:tcPr>
          <w:p w14:paraId="541AD4D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9</w:t>
            </w:r>
          </w:p>
        </w:tc>
      </w:tr>
      <w:tr w:rsidR="00724574" w:rsidRPr="001B7BC7" w14:paraId="49D540D5"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2DCA80AD"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lastRenderedPageBreak/>
              <w:t>20.2.6.2.5</w:t>
            </w:r>
          </w:p>
        </w:tc>
        <w:tc>
          <w:tcPr>
            <w:tcW w:w="6531" w:type="dxa"/>
            <w:noWrap/>
            <w:vAlign w:val="bottom"/>
            <w:hideMark/>
          </w:tcPr>
          <w:p w14:paraId="4CB72E69"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Gravy, sauces &amp; condiments, contains dairy, concentrate</w:t>
            </w:r>
          </w:p>
        </w:tc>
        <w:tc>
          <w:tcPr>
            <w:tcW w:w="1704" w:type="dxa"/>
            <w:noWrap/>
            <w:vAlign w:val="bottom"/>
            <w:hideMark/>
          </w:tcPr>
          <w:p w14:paraId="2A7C4983"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7D1CF87C"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5B759B5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776BB308"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1524F842"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20.2.6.3</w:t>
            </w:r>
          </w:p>
        </w:tc>
        <w:tc>
          <w:tcPr>
            <w:tcW w:w="6531" w:type="dxa"/>
            <w:noWrap/>
            <w:vAlign w:val="bottom"/>
            <w:hideMark/>
          </w:tcPr>
          <w:p w14:paraId="4654BD64"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Dips &amp; spreads</w:t>
            </w:r>
          </w:p>
        </w:tc>
        <w:tc>
          <w:tcPr>
            <w:tcW w:w="1704" w:type="dxa"/>
            <w:noWrap/>
            <w:vAlign w:val="bottom"/>
            <w:hideMark/>
          </w:tcPr>
          <w:p w14:paraId="3BF26EC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5E8FE29D"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50F58E94"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2F6558C3"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79C02FFD"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20.2.6.3.1</w:t>
            </w:r>
          </w:p>
        </w:tc>
        <w:tc>
          <w:tcPr>
            <w:tcW w:w="6531" w:type="dxa"/>
            <w:noWrap/>
            <w:vAlign w:val="bottom"/>
            <w:hideMark/>
          </w:tcPr>
          <w:p w14:paraId="5CFE074D"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Dips, dairy or fat based</w:t>
            </w:r>
          </w:p>
        </w:tc>
        <w:tc>
          <w:tcPr>
            <w:tcW w:w="1704" w:type="dxa"/>
            <w:noWrap/>
            <w:vAlign w:val="bottom"/>
            <w:hideMark/>
          </w:tcPr>
          <w:p w14:paraId="186B01B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5C2CD2A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3E99DAA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136DB81F"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5E0AF77F"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20.2.6.3.2</w:t>
            </w:r>
          </w:p>
        </w:tc>
        <w:tc>
          <w:tcPr>
            <w:tcW w:w="6531" w:type="dxa"/>
            <w:noWrap/>
            <w:vAlign w:val="bottom"/>
            <w:hideMark/>
          </w:tcPr>
          <w:p w14:paraId="65C5A7FD"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Dips, not dairy or fat based</w:t>
            </w:r>
          </w:p>
        </w:tc>
        <w:tc>
          <w:tcPr>
            <w:tcW w:w="1704" w:type="dxa"/>
            <w:noWrap/>
            <w:vAlign w:val="bottom"/>
            <w:hideMark/>
          </w:tcPr>
          <w:p w14:paraId="6ACA817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75D62D16"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348CAA4A"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19FF27A3"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733D2B91"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20.2.6.3.3</w:t>
            </w:r>
          </w:p>
        </w:tc>
        <w:tc>
          <w:tcPr>
            <w:tcW w:w="6531" w:type="dxa"/>
            <w:noWrap/>
            <w:vAlign w:val="bottom"/>
            <w:hideMark/>
          </w:tcPr>
          <w:p w14:paraId="0CBD3D42"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Spreads, dairy or fat based</w:t>
            </w:r>
          </w:p>
        </w:tc>
        <w:tc>
          <w:tcPr>
            <w:tcW w:w="1704" w:type="dxa"/>
            <w:noWrap/>
            <w:vAlign w:val="bottom"/>
            <w:hideMark/>
          </w:tcPr>
          <w:p w14:paraId="52E3CFE3"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08AB192D"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26F1816E"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2C72B741"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6CA06769"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20.2.6.3.4</w:t>
            </w:r>
          </w:p>
        </w:tc>
        <w:tc>
          <w:tcPr>
            <w:tcW w:w="6531" w:type="dxa"/>
            <w:noWrap/>
            <w:vAlign w:val="bottom"/>
            <w:hideMark/>
          </w:tcPr>
          <w:p w14:paraId="60AC271F"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Spreads, not dairy or fat based</w:t>
            </w:r>
          </w:p>
        </w:tc>
        <w:tc>
          <w:tcPr>
            <w:tcW w:w="1704" w:type="dxa"/>
            <w:noWrap/>
            <w:vAlign w:val="bottom"/>
            <w:hideMark/>
          </w:tcPr>
          <w:p w14:paraId="4765B364"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239FE91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48BD97B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72D6DE52"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47ECF5AE"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20.2.7</w:t>
            </w:r>
          </w:p>
        </w:tc>
        <w:tc>
          <w:tcPr>
            <w:tcW w:w="6531" w:type="dxa"/>
            <w:noWrap/>
            <w:vAlign w:val="bottom"/>
            <w:hideMark/>
          </w:tcPr>
          <w:p w14:paraId="6899EF79"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Mayonnaise &amp; salad dressings</w:t>
            </w:r>
          </w:p>
        </w:tc>
        <w:tc>
          <w:tcPr>
            <w:tcW w:w="1704" w:type="dxa"/>
            <w:noWrap/>
            <w:vAlign w:val="bottom"/>
            <w:hideMark/>
          </w:tcPr>
          <w:p w14:paraId="7484D7EF"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noWrap/>
            <w:vAlign w:val="bottom"/>
            <w:hideMark/>
          </w:tcPr>
          <w:p w14:paraId="275CEA0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1581" w:type="dxa"/>
            <w:noWrap/>
            <w:vAlign w:val="bottom"/>
            <w:hideMark/>
          </w:tcPr>
          <w:p w14:paraId="3289FDB5"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r>
      <w:tr w:rsidR="00724574" w:rsidRPr="001B7BC7" w14:paraId="72E4B7A7"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381BDA43"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21.2.6.3.1</w:t>
            </w:r>
          </w:p>
        </w:tc>
        <w:tc>
          <w:tcPr>
            <w:tcW w:w="6531" w:type="dxa"/>
            <w:noWrap/>
            <w:vAlign w:val="bottom"/>
            <w:hideMark/>
          </w:tcPr>
          <w:p w14:paraId="1F911A87"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Dips &amp; spreads, homemade, contains dairy</w:t>
            </w:r>
          </w:p>
        </w:tc>
        <w:tc>
          <w:tcPr>
            <w:tcW w:w="1704" w:type="dxa"/>
            <w:noWrap/>
            <w:vAlign w:val="bottom"/>
            <w:hideMark/>
          </w:tcPr>
          <w:p w14:paraId="1CB36CE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2A64EAA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7C8AC64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452C527C"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4B666E3D"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3</w:t>
            </w:r>
          </w:p>
        </w:tc>
        <w:tc>
          <w:tcPr>
            <w:tcW w:w="6531" w:type="dxa"/>
            <w:noWrap/>
            <w:vAlign w:val="bottom"/>
            <w:hideMark/>
          </w:tcPr>
          <w:p w14:paraId="339FFBA5"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Ice cream &amp; edible ices</w:t>
            </w:r>
          </w:p>
        </w:tc>
        <w:tc>
          <w:tcPr>
            <w:tcW w:w="1704" w:type="dxa"/>
            <w:noWrap/>
            <w:vAlign w:val="bottom"/>
            <w:hideMark/>
          </w:tcPr>
          <w:p w14:paraId="1B85A87C"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noWrap/>
            <w:vAlign w:val="bottom"/>
            <w:hideMark/>
          </w:tcPr>
          <w:p w14:paraId="719D51B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2</w:t>
            </w:r>
          </w:p>
        </w:tc>
        <w:tc>
          <w:tcPr>
            <w:tcW w:w="1581" w:type="dxa"/>
            <w:noWrap/>
            <w:vAlign w:val="bottom"/>
            <w:hideMark/>
          </w:tcPr>
          <w:p w14:paraId="3B54F448"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527955EC"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50654134"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4.3.2</w:t>
            </w:r>
          </w:p>
        </w:tc>
        <w:tc>
          <w:tcPr>
            <w:tcW w:w="6531" w:type="dxa"/>
            <w:noWrap/>
            <w:vAlign w:val="bottom"/>
            <w:hideMark/>
          </w:tcPr>
          <w:p w14:paraId="57833FC8"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Fruits &amp; veges in vinegar/oil/brine/alcohol</w:t>
            </w:r>
          </w:p>
        </w:tc>
        <w:tc>
          <w:tcPr>
            <w:tcW w:w="1704" w:type="dxa"/>
            <w:noWrap/>
            <w:vAlign w:val="bottom"/>
            <w:hideMark/>
          </w:tcPr>
          <w:p w14:paraId="6132B7F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71C8768A"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327876F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07D837B0"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13E2174D"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4.3.4.2</w:t>
            </w:r>
          </w:p>
        </w:tc>
        <w:tc>
          <w:tcPr>
            <w:tcW w:w="6531" w:type="dxa"/>
            <w:noWrap/>
            <w:vAlign w:val="bottom"/>
            <w:hideMark/>
          </w:tcPr>
          <w:p w14:paraId="63A4B345"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Low joule chutneys, jams &amp; spreads</w:t>
            </w:r>
          </w:p>
        </w:tc>
        <w:tc>
          <w:tcPr>
            <w:tcW w:w="1704" w:type="dxa"/>
            <w:noWrap/>
            <w:vAlign w:val="bottom"/>
            <w:hideMark/>
          </w:tcPr>
          <w:p w14:paraId="407E572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49E23B06"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1581" w:type="dxa"/>
            <w:noWrap/>
            <w:vAlign w:val="bottom"/>
            <w:hideMark/>
          </w:tcPr>
          <w:p w14:paraId="06FF3671"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02F45327"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0CDD1BFB"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4.3.6</w:t>
            </w:r>
          </w:p>
        </w:tc>
        <w:tc>
          <w:tcPr>
            <w:tcW w:w="6531" w:type="dxa"/>
            <w:noWrap/>
            <w:vAlign w:val="bottom"/>
            <w:hideMark/>
          </w:tcPr>
          <w:p w14:paraId="198712C6"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Fruit &amp; vegetable preparations including pulp</w:t>
            </w:r>
          </w:p>
        </w:tc>
        <w:tc>
          <w:tcPr>
            <w:tcW w:w="1704" w:type="dxa"/>
            <w:noWrap/>
            <w:vAlign w:val="bottom"/>
            <w:hideMark/>
          </w:tcPr>
          <w:p w14:paraId="6DE7FE4F"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7814085E"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2</w:t>
            </w:r>
          </w:p>
        </w:tc>
        <w:tc>
          <w:tcPr>
            <w:tcW w:w="1581" w:type="dxa"/>
            <w:noWrap/>
            <w:vAlign w:val="bottom"/>
            <w:hideMark/>
          </w:tcPr>
          <w:p w14:paraId="3391FF1A"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r>
      <w:tr w:rsidR="00724574" w:rsidRPr="001B7BC7" w14:paraId="179D8080"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7226B650"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5.1</w:t>
            </w:r>
          </w:p>
        </w:tc>
        <w:tc>
          <w:tcPr>
            <w:tcW w:w="6531" w:type="dxa"/>
            <w:noWrap/>
            <w:vAlign w:val="bottom"/>
            <w:hideMark/>
          </w:tcPr>
          <w:p w14:paraId="522D0F47"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Chocolate &amp; cocoa products</w:t>
            </w:r>
          </w:p>
        </w:tc>
        <w:tc>
          <w:tcPr>
            <w:tcW w:w="1704" w:type="dxa"/>
            <w:noWrap/>
            <w:vAlign w:val="bottom"/>
            <w:hideMark/>
          </w:tcPr>
          <w:p w14:paraId="25AFFD1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c>
          <w:tcPr>
            <w:tcW w:w="2068" w:type="dxa"/>
            <w:noWrap/>
            <w:vAlign w:val="bottom"/>
            <w:hideMark/>
          </w:tcPr>
          <w:p w14:paraId="6B8C730E"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7</w:t>
            </w:r>
          </w:p>
        </w:tc>
        <w:tc>
          <w:tcPr>
            <w:tcW w:w="1581" w:type="dxa"/>
            <w:noWrap/>
            <w:vAlign w:val="bottom"/>
            <w:hideMark/>
          </w:tcPr>
          <w:p w14:paraId="0626BFEC"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r>
      <w:tr w:rsidR="00724574" w:rsidRPr="001B7BC7" w14:paraId="29F85ADA"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10577815"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5.2</w:t>
            </w:r>
          </w:p>
        </w:tc>
        <w:tc>
          <w:tcPr>
            <w:tcW w:w="6531" w:type="dxa"/>
            <w:noWrap/>
            <w:vAlign w:val="bottom"/>
            <w:hideMark/>
          </w:tcPr>
          <w:p w14:paraId="06A67F58"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Sugar confectionery</w:t>
            </w:r>
          </w:p>
        </w:tc>
        <w:tc>
          <w:tcPr>
            <w:tcW w:w="1704" w:type="dxa"/>
            <w:noWrap/>
            <w:vAlign w:val="bottom"/>
            <w:hideMark/>
          </w:tcPr>
          <w:p w14:paraId="3C7011E9"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2</w:t>
            </w:r>
          </w:p>
        </w:tc>
        <w:tc>
          <w:tcPr>
            <w:tcW w:w="2068" w:type="dxa"/>
            <w:noWrap/>
            <w:vAlign w:val="bottom"/>
            <w:hideMark/>
          </w:tcPr>
          <w:p w14:paraId="326BE14D"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15</w:t>
            </w:r>
          </w:p>
        </w:tc>
        <w:tc>
          <w:tcPr>
            <w:tcW w:w="1581" w:type="dxa"/>
            <w:noWrap/>
            <w:vAlign w:val="bottom"/>
            <w:hideMark/>
          </w:tcPr>
          <w:p w14:paraId="6FAF0FA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4</w:t>
            </w:r>
          </w:p>
        </w:tc>
      </w:tr>
      <w:tr w:rsidR="00724574" w:rsidRPr="001B7BC7" w14:paraId="69CEA1FB"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37C2274D"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6.3</w:t>
            </w:r>
          </w:p>
        </w:tc>
        <w:tc>
          <w:tcPr>
            <w:tcW w:w="6531" w:type="dxa"/>
            <w:noWrap/>
            <w:vAlign w:val="bottom"/>
            <w:hideMark/>
          </w:tcPr>
          <w:p w14:paraId="2E6A811A"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Processed cereal &amp; meal products</w:t>
            </w:r>
          </w:p>
        </w:tc>
        <w:tc>
          <w:tcPr>
            <w:tcW w:w="1704" w:type="dxa"/>
            <w:noWrap/>
            <w:vAlign w:val="bottom"/>
            <w:hideMark/>
          </w:tcPr>
          <w:p w14:paraId="46E78AE7"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2068" w:type="dxa"/>
            <w:noWrap/>
            <w:vAlign w:val="bottom"/>
            <w:hideMark/>
          </w:tcPr>
          <w:p w14:paraId="3BC88C32"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3</w:t>
            </w:r>
          </w:p>
        </w:tc>
        <w:tc>
          <w:tcPr>
            <w:tcW w:w="1581" w:type="dxa"/>
            <w:noWrap/>
            <w:vAlign w:val="bottom"/>
            <w:hideMark/>
          </w:tcPr>
          <w:p w14:paraId="17B7308F"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r>
      <w:tr w:rsidR="00724574" w:rsidRPr="001B7BC7" w14:paraId="01B2AE1B" w14:textId="77777777" w:rsidTr="0032102D">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372917B0"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7.1.4</w:t>
            </w:r>
          </w:p>
        </w:tc>
        <w:tc>
          <w:tcPr>
            <w:tcW w:w="6531" w:type="dxa"/>
            <w:noWrap/>
            <w:vAlign w:val="bottom"/>
            <w:hideMark/>
          </w:tcPr>
          <w:p w14:paraId="3E7E9E4B"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Fancy breads</w:t>
            </w:r>
          </w:p>
        </w:tc>
        <w:tc>
          <w:tcPr>
            <w:tcW w:w="1704" w:type="dxa"/>
            <w:noWrap/>
            <w:vAlign w:val="bottom"/>
            <w:hideMark/>
          </w:tcPr>
          <w:p w14:paraId="1A8B778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c>
          <w:tcPr>
            <w:tcW w:w="2068" w:type="dxa"/>
            <w:noWrap/>
            <w:vAlign w:val="bottom"/>
            <w:hideMark/>
          </w:tcPr>
          <w:p w14:paraId="7375D03B"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1</w:t>
            </w:r>
          </w:p>
        </w:tc>
        <w:tc>
          <w:tcPr>
            <w:tcW w:w="1581" w:type="dxa"/>
            <w:noWrap/>
            <w:vAlign w:val="bottom"/>
            <w:hideMark/>
          </w:tcPr>
          <w:p w14:paraId="09C2653E"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0</w:t>
            </w:r>
          </w:p>
        </w:tc>
      </w:tr>
      <w:tr w:rsidR="00724574" w:rsidRPr="001B7BC7" w14:paraId="0D47B5AF" w14:textId="77777777" w:rsidTr="0032102D">
        <w:trPr>
          <w:cnfStyle w:val="000000010000" w:firstRow="0" w:lastRow="0" w:firstColumn="0" w:lastColumn="0" w:oddVBand="0" w:evenVBand="0" w:oddHBand="0" w:evenHBand="1" w:firstRowFirstColumn="0" w:firstRowLastColumn="0" w:lastRowFirstColumn="0" w:lastRowLastColumn="0"/>
          <w:trHeight w:val="485"/>
        </w:trPr>
        <w:tc>
          <w:tcPr>
            <w:tcW w:w="2108" w:type="dxa"/>
            <w:noWrap/>
            <w:vAlign w:val="bottom"/>
            <w:hideMark/>
          </w:tcPr>
          <w:p w14:paraId="3ECDE639" w14:textId="77777777" w:rsidR="00724574" w:rsidRPr="008E7BE8" w:rsidRDefault="00724574" w:rsidP="003B2543">
            <w:pPr>
              <w:spacing w:before="60" w:after="60"/>
              <w:rPr>
                <w:rFonts w:cs="Arial"/>
                <w:bCs/>
                <w:color w:val="000000"/>
                <w:sz w:val="20"/>
                <w:szCs w:val="20"/>
              </w:rPr>
            </w:pPr>
            <w:r w:rsidRPr="008E7BE8">
              <w:rPr>
                <w:rFonts w:cs="Arial"/>
                <w:bCs/>
                <w:color w:val="000000"/>
                <w:sz w:val="20"/>
                <w:szCs w:val="20"/>
              </w:rPr>
              <w:t>7.2</w:t>
            </w:r>
          </w:p>
        </w:tc>
        <w:tc>
          <w:tcPr>
            <w:tcW w:w="6531" w:type="dxa"/>
            <w:noWrap/>
            <w:vAlign w:val="bottom"/>
            <w:hideMark/>
          </w:tcPr>
          <w:p w14:paraId="7C05FD2F" w14:textId="77777777" w:rsidR="00724574" w:rsidRPr="001B7BC7" w:rsidRDefault="00724574" w:rsidP="003B2543">
            <w:pPr>
              <w:spacing w:before="60" w:after="60"/>
              <w:rPr>
                <w:rFonts w:cs="Arial"/>
                <w:color w:val="000000"/>
                <w:sz w:val="20"/>
                <w:szCs w:val="20"/>
              </w:rPr>
            </w:pPr>
            <w:r w:rsidRPr="001B7BC7">
              <w:rPr>
                <w:rFonts w:cs="Arial"/>
                <w:color w:val="000000"/>
                <w:sz w:val="20"/>
                <w:szCs w:val="20"/>
              </w:rPr>
              <w:t>Biscuits, crackers, cakes, pastries &amp; scones</w:t>
            </w:r>
          </w:p>
        </w:tc>
        <w:tc>
          <w:tcPr>
            <w:tcW w:w="1704" w:type="dxa"/>
            <w:noWrap/>
            <w:vAlign w:val="bottom"/>
            <w:hideMark/>
          </w:tcPr>
          <w:p w14:paraId="0CCEFB2C"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4</w:t>
            </w:r>
          </w:p>
        </w:tc>
        <w:tc>
          <w:tcPr>
            <w:tcW w:w="2068" w:type="dxa"/>
            <w:noWrap/>
            <w:vAlign w:val="bottom"/>
            <w:hideMark/>
          </w:tcPr>
          <w:p w14:paraId="7B868DA3"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9</w:t>
            </w:r>
          </w:p>
        </w:tc>
        <w:tc>
          <w:tcPr>
            <w:tcW w:w="1581" w:type="dxa"/>
            <w:noWrap/>
            <w:vAlign w:val="bottom"/>
            <w:hideMark/>
          </w:tcPr>
          <w:p w14:paraId="73F4B16E" w14:textId="77777777" w:rsidR="00724574" w:rsidRPr="001B7BC7" w:rsidRDefault="00724574" w:rsidP="003B2543">
            <w:pPr>
              <w:spacing w:before="60" w:after="60"/>
              <w:jc w:val="center"/>
              <w:rPr>
                <w:rFonts w:cs="Arial"/>
                <w:color w:val="000000"/>
                <w:sz w:val="20"/>
                <w:szCs w:val="20"/>
              </w:rPr>
            </w:pPr>
            <w:r w:rsidRPr="001B7BC7">
              <w:rPr>
                <w:rFonts w:cs="Arial"/>
                <w:color w:val="000000"/>
                <w:sz w:val="20"/>
                <w:szCs w:val="20"/>
              </w:rPr>
              <w:t>5</w:t>
            </w:r>
          </w:p>
        </w:tc>
      </w:tr>
      <w:tr w:rsidR="00724574" w:rsidRPr="001B7BC7" w14:paraId="0D6CE819" w14:textId="77777777" w:rsidTr="00D72CFA">
        <w:trPr>
          <w:cnfStyle w:val="000000100000" w:firstRow="0" w:lastRow="0" w:firstColumn="0" w:lastColumn="0" w:oddVBand="0" w:evenVBand="0" w:oddHBand="1" w:evenHBand="0" w:firstRowFirstColumn="0" w:firstRowLastColumn="0" w:lastRowFirstColumn="0" w:lastRowLastColumn="0"/>
          <w:trHeight w:val="485"/>
        </w:trPr>
        <w:tc>
          <w:tcPr>
            <w:tcW w:w="2108" w:type="dxa"/>
            <w:noWrap/>
            <w:vAlign w:val="bottom"/>
            <w:hideMark/>
          </w:tcPr>
          <w:p w14:paraId="1311C3A2" w14:textId="77777777" w:rsidR="00724574" w:rsidRPr="001B7BC7" w:rsidRDefault="00724574" w:rsidP="00D72CFA">
            <w:pPr>
              <w:spacing w:before="60" w:after="60"/>
              <w:rPr>
                <w:rFonts w:cs="Arial"/>
                <w:b/>
                <w:bCs/>
                <w:color w:val="000000"/>
                <w:sz w:val="20"/>
                <w:szCs w:val="20"/>
              </w:rPr>
            </w:pPr>
            <w:r w:rsidRPr="001B7BC7">
              <w:rPr>
                <w:rFonts w:cs="Arial"/>
                <w:b/>
                <w:bCs/>
                <w:color w:val="000000"/>
                <w:sz w:val="20"/>
                <w:szCs w:val="20"/>
              </w:rPr>
              <w:t>Grand Total</w:t>
            </w:r>
          </w:p>
        </w:tc>
        <w:tc>
          <w:tcPr>
            <w:tcW w:w="6531" w:type="dxa"/>
            <w:noWrap/>
            <w:vAlign w:val="bottom"/>
            <w:hideMark/>
          </w:tcPr>
          <w:p w14:paraId="2B8AD526" w14:textId="77777777" w:rsidR="00724574" w:rsidRPr="001B7BC7" w:rsidRDefault="00724574" w:rsidP="00D72CFA">
            <w:pPr>
              <w:spacing w:before="60" w:after="60"/>
              <w:rPr>
                <w:rFonts w:cs="Arial"/>
                <w:color w:val="000000"/>
                <w:sz w:val="20"/>
                <w:szCs w:val="20"/>
              </w:rPr>
            </w:pPr>
            <w:r w:rsidRPr="001B7BC7">
              <w:rPr>
                <w:rFonts w:cs="Arial"/>
                <w:color w:val="000000"/>
                <w:sz w:val="20"/>
                <w:szCs w:val="20"/>
              </w:rPr>
              <w:t> </w:t>
            </w:r>
          </w:p>
        </w:tc>
        <w:tc>
          <w:tcPr>
            <w:tcW w:w="1704" w:type="dxa"/>
            <w:noWrap/>
            <w:vAlign w:val="bottom"/>
            <w:hideMark/>
          </w:tcPr>
          <w:p w14:paraId="081FEE98" w14:textId="77777777" w:rsidR="00724574" w:rsidRPr="001B7BC7" w:rsidRDefault="00724574" w:rsidP="00D72CFA">
            <w:pPr>
              <w:spacing w:before="60" w:after="60"/>
              <w:jc w:val="center"/>
              <w:rPr>
                <w:rFonts w:cs="Arial"/>
                <w:color w:val="000000"/>
                <w:sz w:val="20"/>
                <w:szCs w:val="20"/>
              </w:rPr>
            </w:pPr>
            <w:r w:rsidRPr="001B7BC7">
              <w:rPr>
                <w:rFonts w:cs="Arial"/>
                <w:color w:val="000000"/>
                <w:sz w:val="20"/>
                <w:szCs w:val="20"/>
              </w:rPr>
              <w:t>100</w:t>
            </w:r>
          </w:p>
        </w:tc>
        <w:tc>
          <w:tcPr>
            <w:tcW w:w="2068" w:type="dxa"/>
            <w:noWrap/>
            <w:vAlign w:val="bottom"/>
            <w:hideMark/>
          </w:tcPr>
          <w:p w14:paraId="4C110440" w14:textId="77777777" w:rsidR="00724574" w:rsidRPr="001B7BC7" w:rsidRDefault="00724574" w:rsidP="00D72CFA">
            <w:pPr>
              <w:spacing w:before="60" w:after="60"/>
              <w:jc w:val="center"/>
              <w:rPr>
                <w:rFonts w:cs="Arial"/>
                <w:color w:val="000000"/>
                <w:sz w:val="20"/>
                <w:szCs w:val="20"/>
              </w:rPr>
            </w:pPr>
            <w:r w:rsidRPr="001B7BC7">
              <w:rPr>
                <w:rFonts w:cs="Arial"/>
                <w:color w:val="000000"/>
                <w:sz w:val="20"/>
                <w:szCs w:val="20"/>
              </w:rPr>
              <w:t>100</w:t>
            </w:r>
          </w:p>
        </w:tc>
        <w:tc>
          <w:tcPr>
            <w:tcW w:w="1581" w:type="dxa"/>
            <w:noWrap/>
            <w:vAlign w:val="bottom"/>
            <w:hideMark/>
          </w:tcPr>
          <w:p w14:paraId="43DCEC95" w14:textId="77777777" w:rsidR="00724574" w:rsidRPr="001B7BC7" w:rsidRDefault="00724574" w:rsidP="00D72CFA">
            <w:pPr>
              <w:spacing w:before="60" w:after="60"/>
              <w:jc w:val="center"/>
              <w:rPr>
                <w:rFonts w:cs="Arial"/>
                <w:color w:val="000000"/>
                <w:sz w:val="20"/>
                <w:szCs w:val="20"/>
              </w:rPr>
            </w:pPr>
            <w:r w:rsidRPr="001B7BC7">
              <w:rPr>
                <w:rFonts w:cs="Arial"/>
                <w:color w:val="000000"/>
                <w:sz w:val="20"/>
                <w:szCs w:val="20"/>
              </w:rPr>
              <w:t>100</w:t>
            </w:r>
          </w:p>
        </w:tc>
      </w:tr>
    </w:tbl>
    <w:p w14:paraId="2610C400" w14:textId="6E91CE83" w:rsidR="00724574" w:rsidRPr="008E7BE8" w:rsidRDefault="00724574" w:rsidP="00724574">
      <w:pPr>
        <w:keepNext/>
        <w:keepLines/>
        <w:rPr>
          <w:sz w:val="18"/>
          <w:szCs w:val="20"/>
        </w:rPr>
      </w:pPr>
      <w:r w:rsidRPr="008E7BE8">
        <w:rPr>
          <w:rFonts w:cs="Arial"/>
          <w:color w:val="000000"/>
          <w:sz w:val="18"/>
          <w:szCs w:val="20"/>
          <w:vertAlign w:val="superscript"/>
          <w:lang w:eastAsia="en-GB"/>
        </w:rPr>
        <w:sym w:font="Symbol" w:char="F0A5"/>
      </w:r>
      <w:r w:rsidRPr="008E7BE8">
        <w:rPr>
          <w:rFonts w:cs="Arial"/>
          <w:color w:val="000000"/>
          <w:sz w:val="18"/>
          <w:szCs w:val="20"/>
          <w:vertAlign w:val="superscript"/>
          <w:lang w:eastAsia="en-GB"/>
        </w:rPr>
        <w:t xml:space="preserve"> </w:t>
      </w:r>
      <w:r w:rsidRPr="008E7BE8">
        <w:rPr>
          <w:rFonts w:cs="Arial"/>
          <w:color w:val="000000"/>
          <w:sz w:val="18"/>
          <w:szCs w:val="20"/>
          <w:lang w:eastAsia="en-GB"/>
        </w:rPr>
        <w:t>Derived using the Australian 2011-12 National Nutrition Physical Activity Survey (2 day average exposure)</w:t>
      </w:r>
      <w:r w:rsidR="008E7BE8" w:rsidRPr="008E7BE8">
        <w:rPr>
          <w:rFonts w:cs="Arial"/>
          <w:color w:val="000000"/>
          <w:sz w:val="18"/>
          <w:szCs w:val="20"/>
          <w:lang w:eastAsia="en-GB"/>
        </w:rPr>
        <w:t>.</w:t>
      </w:r>
    </w:p>
    <w:p w14:paraId="6C3C0153" w14:textId="0D43D610" w:rsidR="00724574" w:rsidRPr="008E7BE8" w:rsidRDefault="00724574" w:rsidP="00724574">
      <w:pPr>
        <w:rPr>
          <w:rFonts w:cs="Arial"/>
          <w:color w:val="000000"/>
          <w:sz w:val="18"/>
          <w:szCs w:val="20"/>
          <w:lang w:eastAsia="en-GB"/>
        </w:rPr>
      </w:pPr>
      <w:r w:rsidRPr="008E7BE8">
        <w:rPr>
          <w:rFonts w:ascii="Calibri" w:hAnsi="Calibri" w:cs="Arial"/>
          <w:color w:val="000000"/>
          <w:sz w:val="18"/>
          <w:szCs w:val="20"/>
          <w:vertAlign w:val="superscript"/>
          <w:lang w:eastAsia="en-GB"/>
        </w:rPr>
        <w:t xml:space="preserve"> ѱ </w:t>
      </w:r>
      <w:r w:rsidRPr="008E7BE8">
        <w:rPr>
          <w:rFonts w:cs="Arial"/>
          <w:color w:val="000000"/>
          <w:sz w:val="18"/>
          <w:szCs w:val="20"/>
          <w:lang w:eastAsia="en-GB"/>
        </w:rPr>
        <w:t xml:space="preserve">Derived using the </w:t>
      </w:r>
      <w:r w:rsidRPr="008E7BE8">
        <w:rPr>
          <w:sz w:val="18"/>
          <w:szCs w:val="20"/>
        </w:rPr>
        <w:t>New Zealand National Children’s Nutrition Survey 2002 (Day 1</w:t>
      </w:r>
      <w:r w:rsidR="005F7230" w:rsidRPr="008E7BE8">
        <w:rPr>
          <w:sz w:val="18"/>
          <w:szCs w:val="20"/>
        </w:rPr>
        <w:t xml:space="preserve"> only</w:t>
      </w:r>
      <w:r w:rsidRPr="008E7BE8">
        <w:rPr>
          <w:sz w:val="18"/>
          <w:szCs w:val="20"/>
        </w:rPr>
        <w:t>)</w:t>
      </w:r>
      <w:r w:rsidR="008E7BE8" w:rsidRPr="008E7BE8">
        <w:rPr>
          <w:rFonts w:cs="Arial"/>
          <w:color w:val="000000"/>
          <w:sz w:val="18"/>
          <w:szCs w:val="20"/>
          <w:lang w:eastAsia="en-GB"/>
        </w:rPr>
        <w:t>.</w:t>
      </w:r>
    </w:p>
    <w:p w14:paraId="550BB860" w14:textId="3901FB98" w:rsidR="00724574" w:rsidRPr="008E7BE8" w:rsidRDefault="00724574" w:rsidP="00724574">
      <w:pPr>
        <w:keepNext/>
        <w:keepLines/>
        <w:rPr>
          <w:sz w:val="18"/>
          <w:szCs w:val="20"/>
        </w:rPr>
      </w:pPr>
      <w:r w:rsidRPr="008E7BE8">
        <w:rPr>
          <w:rFonts w:cs="Arial"/>
          <w:color w:val="000000"/>
          <w:sz w:val="18"/>
          <w:szCs w:val="20"/>
          <w:lang w:eastAsia="en-GB"/>
        </w:rPr>
        <w:t xml:space="preserve">* Derived using the </w:t>
      </w:r>
      <w:r w:rsidRPr="008E7BE8">
        <w:rPr>
          <w:sz w:val="18"/>
          <w:szCs w:val="20"/>
        </w:rPr>
        <w:t>New Zealand Adult Nutrition Survey 2008 (Day 1</w:t>
      </w:r>
      <w:r w:rsidR="005F7230" w:rsidRPr="008E7BE8">
        <w:rPr>
          <w:sz w:val="18"/>
          <w:szCs w:val="20"/>
        </w:rPr>
        <w:t xml:space="preserve"> only</w:t>
      </w:r>
      <w:r w:rsidRPr="008E7BE8">
        <w:rPr>
          <w:sz w:val="18"/>
          <w:szCs w:val="20"/>
        </w:rPr>
        <w:t>)</w:t>
      </w:r>
      <w:r w:rsidR="008E7BE8" w:rsidRPr="008E7BE8">
        <w:rPr>
          <w:sz w:val="18"/>
          <w:szCs w:val="20"/>
        </w:rPr>
        <w:t>.</w:t>
      </w:r>
    </w:p>
    <w:p w14:paraId="2276F0D6" w14:textId="66E990E0" w:rsidR="00EA1803" w:rsidRPr="003A01FB" w:rsidRDefault="00724574" w:rsidP="00E94A39">
      <w:pPr>
        <w:keepNext/>
        <w:keepLines/>
      </w:pPr>
      <w:r w:rsidRPr="008E7BE8">
        <w:rPr>
          <w:sz w:val="18"/>
          <w:szCs w:val="20"/>
        </w:rPr>
        <w:t xml:space="preserve">All % contributions are expressed as a percentage of the total </w:t>
      </w:r>
      <w:r w:rsidR="005F7230" w:rsidRPr="008E7BE8">
        <w:rPr>
          <w:sz w:val="18"/>
          <w:szCs w:val="20"/>
        </w:rPr>
        <w:t>dietary exposure summed for al</w:t>
      </w:r>
      <w:r w:rsidR="004A36C3">
        <w:rPr>
          <w:sz w:val="18"/>
          <w:szCs w:val="20"/>
        </w:rPr>
        <w:t>l respondents for all foo</w:t>
      </w:r>
      <w:r w:rsidR="00EA1803">
        <w:rPr>
          <w:sz w:val="18"/>
          <w:szCs w:val="20"/>
        </w:rPr>
        <w:t>d</w:t>
      </w:r>
    </w:p>
    <w:sectPr w:rsidR="00EA1803" w:rsidRPr="003A01FB" w:rsidSect="002F7278">
      <w:footerReference w:type="default" r:id="rId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1ADC" w14:textId="77777777" w:rsidR="00F0697E" w:rsidRDefault="00F0697E">
      <w:r>
        <w:separator/>
      </w:r>
    </w:p>
  </w:endnote>
  <w:endnote w:type="continuationSeparator" w:id="0">
    <w:p w14:paraId="2E3CC3EA" w14:textId="77777777" w:rsidR="00F0697E" w:rsidRDefault="00F0697E">
      <w:r>
        <w:continuationSeparator/>
      </w:r>
    </w:p>
  </w:endnote>
  <w:endnote w:type="continuationNotice" w:id="1">
    <w:p w14:paraId="3C799079" w14:textId="77777777" w:rsidR="00F0697E" w:rsidRDefault="00F06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8D70" w14:textId="77777777" w:rsidR="00BF587A" w:rsidRPr="00BF587A" w:rsidRDefault="00BF587A" w:rsidP="00BF587A">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656E9651" w14:textId="2C7DDB9A" w:rsidR="00F0697E" w:rsidRDefault="00BF587A" w:rsidP="00BF587A">
    <w:pPr>
      <w:pStyle w:val="Footer"/>
      <w:framePr w:wrap="around" w:vAnchor="text" w:hAnchor="margin" w:xAlign="center" w:y="1"/>
      <w:jc w:val="center"/>
      <w:rPr>
        <w:rStyle w:val="PageNumber"/>
      </w:rPr>
    </w:pPr>
    <w:r w:rsidRPr="00BF587A">
      <w:rPr>
        <w:rStyle w:val="PageNumber"/>
        <w:rFonts w:ascii="Calibri" w:hAnsi="Calibri" w:cs="Calibri"/>
        <w:b/>
        <w:color w:val="F00000"/>
        <w:sz w:val="24"/>
      </w:rPr>
      <w:t>OFFICIAL</w:t>
    </w:r>
    <w:r>
      <w:rPr>
        <w:rStyle w:val="PageNumber"/>
      </w:rPr>
      <w:t xml:space="preserve"> </w:t>
    </w:r>
    <w:r>
      <w:rPr>
        <w:rStyle w:val="PageNumber"/>
      </w:rPr>
      <w:fldChar w:fldCharType="end"/>
    </w:r>
    <w:r w:rsidR="00F0697E">
      <w:rPr>
        <w:rStyle w:val="PageNumber"/>
      </w:rPr>
      <w:fldChar w:fldCharType="begin"/>
    </w:r>
    <w:r w:rsidR="00F0697E">
      <w:rPr>
        <w:rStyle w:val="PageNumber"/>
      </w:rPr>
      <w:instrText xml:space="preserve">PAGE  </w:instrText>
    </w:r>
    <w:r w:rsidR="00F0697E">
      <w:rPr>
        <w:rStyle w:val="PageNumber"/>
      </w:rPr>
      <w:fldChar w:fldCharType="end"/>
    </w:r>
  </w:p>
  <w:p w14:paraId="5E899FE7" w14:textId="77777777" w:rsidR="00F0697E" w:rsidRDefault="00F0697E" w:rsidP="00BF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290A" w14:textId="77777777" w:rsidR="00BF587A" w:rsidRPr="00BF587A" w:rsidRDefault="00BF587A" w:rsidP="00BF587A">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D5700AC" w14:textId="10AD24ED" w:rsidR="00BF587A" w:rsidRDefault="00BF587A" w:rsidP="00BF587A">
    <w:pPr>
      <w:pStyle w:val="Footer"/>
      <w:jc w:val="center"/>
    </w:pPr>
    <w:r w:rsidRPr="00BF587A">
      <w:rPr>
        <w:rFonts w:ascii="Calibri" w:hAnsi="Calibri" w:cs="Calibri"/>
        <w:b/>
        <w:color w:val="F00000"/>
        <w:sz w:val="24"/>
      </w:rPr>
      <w:t>OFFICIAL</w:t>
    </w:r>
    <w:r>
      <w:t xml:space="preserve"> </w:t>
    </w:r>
    <w:r>
      <w:fldChar w:fldCharType="end"/>
    </w:r>
  </w:p>
  <w:p w14:paraId="30B6DE08" w14:textId="27AC9408" w:rsidR="00F0697E" w:rsidRDefault="002F7278" w:rsidP="00E23CB4">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F587A">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F587A">
      <w:rPr>
        <w:b/>
        <w:bCs/>
        <w:noProof/>
      </w:rPr>
      <w:t>30</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75A0" w14:textId="77777777" w:rsidR="00BF587A" w:rsidRPr="00BF587A" w:rsidRDefault="00BF587A" w:rsidP="00BF587A">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BACBEAE" w14:textId="49DD6260" w:rsidR="002F7278" w:rsidRPr="00BF587A" w:rsidRDefault="00BF587A" w:rsidP="00BF587A">
    <w:pPr>
      <w:pStyle w:val="Footer"/>
      <w:jc w:val="center"/>
    </w:pPr>
    <w:r w:rsidRPr="00BF587A">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04A9" w14:textId="77777777" w:rsidR="00BF587A" w:rsidRPr="00BF587A" w:rsidRDefault="00BF587A" w:rsidP="00BF587A">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67807DD3" w14:textId="75A0ADBE" w:rsidR="00F0697E" w:rsidRPr="00BF587A" w:rsidRDefault="00BF587A" w:rsidP="00BF587A">
    <w:pPr>
      <w:pStyle w:val="Footer"/>
      <w:jc w:val="center"/>
    </w:pPr>
    <w:r w:rsidRPr="00BF587A">
      <w:rPr>
        <w:rFonts w:ascii="Calibri" w:hAnsi="Calibri" w:cs="Calibri"/>
        <w:b/>
        <w:color w:val="F00000"/>
        <w:sz w:val="24"/>
      </w:rPr>
      <w:t>OFFICIAL</w:t>
    </w:r>
    <w:r>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DEAC" w14:textId="77777777" w:rsidR="00BF587A" w:rsidRPr="00BF587A" w:rsidRDefault="00BF587A" w:rsidP="00BF587A">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421B4EEF" w14:textId="4DDC4CFE" w:rsidR="00BF587A" w:rsidRDefault="00BF587A" w:rsidP="00BF587A">
    <w:pPr>
      <w:pStyle w:val="Footer"/>
      <w:jc w:val="center"/>
    </w:pPr>
    <w:r w:rsidRPr="00BF587A">
      <w:rPr>
        <w:rFonts w:ascii="Calibri" w:hAnsi="Calibri" w:cs="Calibri"/>
        <w:b/>
        <w:color w:val="F00000"/>
        <w:sz w:val="24"/>
      </w:rPr>
      <w:t>OFFICIAL</w:t>
    </w:r>
    <w:r>
      <w:t xml:space="preserve"> </w:t>
    </w:r>
    <w:r>
      <w:fldChar w:fldCharType="end"/>
    </w:r>
  </w:p>
  <w:sdt>
    <w:sdtPr>
      <w:id w:val="-1302151025"/>
      <w:docPartObj>
        <w:docPartGallery w:val="Page Numbers (Bottom of Page)"/>
        <w:docPartUnique/>
      </w:docPartObj>
    </w:sdtPr>
    <w:sdtEndPr>
      <w:rPr>
        <w:noProof/>
      </w:rPr>
    </w:sdtEndPr>
    <w:sdtContent>
      <w:p w14:paraId="0DB87A00" w14:textId="02C5DC2F" w:rsidR="00F0697E" w:rsidRDefault="002F7278" w:rsidP="002F727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F587A">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F587A">
          <w:rPr>
            <w:b/>
            <w:bCs/>
            <w:noProof/>
          </w:rPr>
          <w:t>30</w:t>
        </w:r>
        <w:r>
          <w:rPr>
            <w:b/>
            <w:bC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09E3" w14:textId="77777777" w:rsidR="00BF587A" w:rsidRPr="00BF587A" w:rsidRDefault="00BF587A" w:rsidP="00BF587A">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0BF5820" w14:textId="3556173E" w:rsidR="00F0697E" w:rsidRPr="00BF587A" w:rsidRDefault="00BF587A" w:rsidP="00BF587A">
    <w:pPr>
      <w:pStyle w:val="Footer"/>
      <w:jc w:val="center"/>
    </w:pPr>
    <w:r w:rsidRPr="00BF587A">
      <w:rPr>
        <w:rFonts w:ascii="Calibri" w:hAnsi="Calibri" w:cs="Calibri"/>
        <w:b/>
        <w:color w:val="F00000"/>
        <w:sz w:val="24"/>
      </w:rPr>
      <w:t>OFFICIAL</w:t>
    </w:r>
    <w:r>
      <w:t xml:space="preserve">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8A8C" w14:textId="77777777" w:rsidR="00BF587A" w:rsidRPr="00BF587A" w:rsidRDefault="00BF587A" w:rsidP="00BF587A">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142E6A70" w14:textId="5DA70F80" w:rsidR="00BF587A" w:rsidRDefault="00BF587A" w:rsidP="00BF587A">
    <w:pPr>
      <w:pStyle w:val="Footer"/>
      <w:jc w:val="center"/>
    </w:pPr>
    <w:r w:rsidRPr="00BF587A">
      <w:rPr>
        <w:rFonts w:ascii="Calibri" w:hAnsi="Calibri" w:cs="Calibri"/>
        <w:b/>
        <w:color w:val="F00000"/>
        <w:sz w:val="24"/>
      </w:rPr>
      <w:t>OFFICIAL</w:t>
    </w:r>
    <w:r>
      <w:t xml:space="preserve"> </w:t>
    </w:r>
    <w:r>
      <w:fldChar w:fldCharType="end"/>
    </w:r>
  </w:p>
  <w:sdt>
    <w:sdtPr>
      <w:id w:val="1109848261"/>
      <w:docPartObj>
        <w:docPartGallery w:val="Page Numbers (Bottom of Page)"/>
        <w:docPartUnique/>
      </w:docPartObj>
    </w:sdtPr>
    <w:sdtEndPr>
      <w:rPr>
        <w:noProof/>
      </w:rPr>
    </w:sdtEndPr>
    <w:sdtContent>
      <w:p w14:paraId="6EBF113B" w14:textId="32C84783" w:rsidR="002F7278" w:rsidRDefault="002F7278" w:rsidP="002F727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F587A">
          <w:rPr>
            <w:b/>
            <w:bCs/>
            <w:noProof/>
          </w:rPr>
          <w:t>30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F587A">
          <w:rPr>
            <w:b/>
            <w:bCs/>
            <w:noProof/>
          </w:rPr>
          <w:t>30</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8E95" w14:textId="77777777" w:rsidR="00F0697E" w:rsidRDefault="00F0697E">
      <w:r>
        <w:separator/>
      </w:r>
    </w:p>
  </w:footnote>
  <w:footnote w:type="continuationSeparator" w:id="0">
    <w:p w14:paraId="01B861B7" w14:textId="77777777" w:rsidR="00F0697E" w:rsidRDefault="00F0697E">
      <w:r>
        <w:continuationSeparator/>
      </w:r>
    </w:p>
  </w:footnote>
  <w:footnote w:type="continuationNotice" w:id="1">
    <w:p w14:paraId="45A615D8" w14:textId="77777777" w:rsidR="00F0697E" w:rsidRDefault="00F0697E"/>
  </w:footnote>
  <w:footnote w:id="2">
    <w:p w14:paraId="3B28F645" w14:textId="77777777" w:rsidR="00F0697E" w:rsidRPr="00814453" w:rsidRDefault="00F0697E" w:rsidP="00724574">
      <w:pPr>
        <w:pStyle w:val="FootnoteText"/>
        <w:rPr>
          <w:lang w:val="en-AU"/>
        </w:rPr>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9B4F" w14:textId="77777777" w:rsidR="00BF587A" w:rsidRPr="00BF587A" w:rsidRDefault="00BF587A" w:rsidP="00BF587A">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BF587A">
      <w:rPr>
        <w:rFonts w:ascii="Calibri" w:hAnsi="Calibri" w:cs="Calibri"/>
        <w:b/>
        <w:color w:val="F00000"/>
        <w:sz w:val="24"/>
      </w:rPr>
      <w:t>OFFICIAL</w:t>
    </w:r>
  </w:p>
  <w:p w14:paraId="06D70B58" w14:textId="26B3016A" w:rsidR="002F7278" w:rsidRPr="00BF587A" w:rsidRDefault="00BF587A" w:rsidP="00BF587A">
    <w:pPr>
      <w:pStyle w:val="Header"/>
      <w:jc w:val="center"/>
    </w:pPr>
    <w:r w:rsidRPr="00BF587A">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7090" w14:textId="77777777" w:rsidR="00BF587A" w:rsidRPr="00BF587A" w:rsidRDefault="00BF587A" w:rsidP="00BF587A">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BF587A">
      <w:rPr>
        <w:rFonts w:ascii="Calibri" w:hAnsi="Calibri" w:cs="Calibri"/>
        <w:b/>
        <w:color w:val="F00000"/>
        <w:sz w:val="24"/>
      </w:rPr>
      <w:t>OFFICIAL</w:t>
    </w:r>
  </w:p>
  <w:p w14:paraId="24D46291" w14:textId="044E0847" w:rsidR="002F7278" w:rsidRPr="00BF587A" w:rsidRDefault="00BF587A" w:rsidP="00BF587A">
    <w:pPr>
      <w:pStyle w:val="Header"/>
      <w:jc w:val="center"/>
    </w:pPr>
    <w:r w:rsidRPr="00BF587A">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0A8D" w14:textId="77777777" w:rsidR="00BF587A" w:rsidRPr="00BF587A" w:rsidRDefault="00BF587A" w:rsidP="00BF587A">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BF587A">
      <w:rPr>
        <w:rFonts w:ascii="Calibri" w:hAnsi="Calibri" w:cs="Calibri"/>
        <w:b/>
        <w:bCs/>
        <w:color w:val="F00000"/>
        <w:sz w:val="24"/>
      </w:rPr>
      <w:t>OFFICIAL</w:t>
    </w:r>
  </w:p>
  <w:p w14:paraId="643C593E" w14:textId="67A59B90" w:rsidR="00BF587A" w:rsidRDefault="00BF587A" w:rsidP="00BF587A">
    <w:pPr>
      <w:pStyle w:val="Header"/>
      <w:jc w:val="center"/>
      <w:rPr>
        <w:b/>
        <w:bCs/>
      </w:rPr>
    </w:pPr>
    <w:r w:rsidRPr="00BF587A">
      <w:rPr>
        <w:rFonts w:ascii="Calibri" w:hAnsi="Calibri" w:cs="Calibri"/>
        <w:b/>
        <w:bCs/>
        <w:color w:val="F00000"/>
        <w:sz w:val="24"/>
      </w:rPr>
      <w:t xml:space="preserve"> </w:t>
    </w:r>
    <w:r>
      <w:rPr>
        <w:b/>
        <w:bCs/>
      </w:rPr>
      <w:fldChar w:fldCharType="end"/>
    </w:r>
  </w:p>
  <w:p w14:paraId="212220DF" w14:textId="40ED21F4" w:rsidR="00F0697E" w:rsidRDefault="00F0697E">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AAD6" w14:textId="77777777" w:rsidR="00BF587A" w:rsidRPr="00BF587A" w:rsidRDefault="00BF587A" w:rsidP="00BF587A">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BF587A">
      <w:rPr>
        <w:rFonts w:ascii="Calibri" w:hAnsi="Calibri" w:cs="Calibri"/>
        <w:b/>
        <w:color w:val="F00000"/>
        <w:sz w:val="24"/>
      </w:rPr>
      <w:t>OFFICIAL</w:t>
    </w:r>
  </w:p>
  <w:p w14:paraId="2035386D" w14:textId="124E99F4" w:rsidR="00F0697E" w:rsidRPr="00BF587A" w:rsidRDefault="00BF587A" w:rsidP="00BF587A">
    <w:pPr>
      <w:pStyle w:val="Header"/>
      <w:jc w:val="center"/>
    </w:pPr>
    <w:r w:rsidRPr="00BF587A">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A500" w14:textId="77777777" w:rsidR="00BF587A" w:rsidRPr="00BF587A" w:rsidRDefault="00BF587A" w:rsidP="00BF587A">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BF587A">
      <w:rPr>
        <w:rFonts w:ascii="Calibri" w:hAnsi="Calibri" w:cs="Calibri"/>
        <w:b/>
        <w:color w:val="F00000"/>
        <w:sz w:val="24"/>
      </w:rPr>
      <w:t>OFFICIAL</w:t>
    </w:r>
  </w:p>
  <w:p w14:paraId="5A635AD2" w14:textId="307DCDB0" w:rsidR="00F0697E" w:rsidRPr="00BF587A" w:rsidRDefault="00BF587A" w:rsidP="00BF587A">
    <w:pPr>
      <w:pStyle w:val="Header"/>
      <w:jc w:val="center"/>
    </w:pPr>
    <w:r w:rsidRPr="00BF587A">
      <w:rPr>
        <w:rFonts w:ascii="Calibri" w:hAnsi="Calibri" w:cs="Calibri"/>
        <w:b/>
        <w:color w:val="F00000"/>
        <w:sz w:val="24"/>
      </w:rPr>
      <w:t xml:space="preserve">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80C6" w14:textId="77777777" w:rsidR="00BF587A" w:rsidRPr="00BF587A" w:rsidRDefault="00BF587A" w:rsidP="00BF587A">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BF587A">
      <w:rPr>
        <w:rFonts w:ascii="Calibri" w:hAnsi="Calibri" w:cs="Calibri"/>
        <w:b/>
        <w:color w:val="F00000"/>
        <w:sz w:val="24"/>
      </w:rPr>
      <w:t>OFFICIAL</w:t>
    </w:r>
  </w:p>
  <w:p w14:paraId="081029C9" w14:textId="7637296E" w:rsidR="00F0697E" w:rsidRPr="00BF587A" w:rsidRDefault="00BF587A" w:rsidP="00BF587A">
    <w:pPr>
      <w:pStyle w:val="Header"/>
      <w:jc w:val="center"/>
    </w:pPr>
    <w:r w:rsidRPr="00BF587A">
      <w:rPr>
        <w:rFonts w:ascii="Calibri" w:hAnsi="Calibri" w:cs="Calibri"/>
        <w:b/>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FE6C2C"/>
    <w:multiLevelType w:val="multilevel"/>
    <w:tmpl w:val="4B740FD0"/>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7427AD4"/>
    <w:multiLevelType w:val="hybridMultilevel"/>
    <w:tmpl w:val="31363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615EA"/>
    <w:multiLevelType w:val="hybridMultilevel"/>
    <w:tmpl w:val="9214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60402"/>
    <w:multiLevelType w:val="multilevel"/>
    <w:tmpl w:val="7A82321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3540E62"/>
    <w:multiLevelType w:val="multilevel"/>
    <w:tmpl w:val="D6B6A14E"/>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1BE7542"/>
    <w:multiLevelType w:val="multilevel"/>
    <w:tmpl w:val="64EAF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C07BF"/>
    <w:multiLevelType w:val="multilevel"/>
    <w:tmpl w:val="BA90C52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A527969"/>
    <w:multiLevelType w:val="multilevel"/>
    <w:tmpl w:val="7FFC63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6"/>
  </w:num>
  <w:num w:numId="3">
    <w:abstractNumId w:val="0"/>
  </w:num>
  <w:num w:numId="4">
    <w:abstractNumId w:val="2"/>
  </w:num>
  <w:num w:numId="5">
    <w:abstractNumId w:val="10"/>
  </w:num>
  <w:num w:numId="6">
    <w:abstractNumId w:val="1"/>
  </w:num>
  <w:num w:numId="7">
    <w:abstractNumId w:val="5"/>
  </w:num>
  <w:num w:numId="8">
    <w:abstractNumId w:val="7"/>
  </w:num>
  <w:num w:numId="9">
    <w:abstractNumId w:val="9"/>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0"/>
    <w:lvlOverride w:ilvl="0">
      <w:startOverride w:val="4"/>
    </w:lvlOverride>
    <w:lvlOverride w:ilvl="1">
      <w:startOverride w:val="2"/>
    </w:lvlOverride>
    <w:lvlOverride w:ilvl="2">
      <w:startOverride w:val="1"/>
    </w:lvlOverride>
  </w:num>
  <w:num w:numId="16">
    <w:abstractNumId w:val="10"/>
    <w:lvlOverride w:ilvl="0">
      <w:startOverride w:val="4"/>
    </w:lvlOverride>
    <w:lvlOverride w:ilvl="1">
      <w:startOverride w:val="2"/>
    </w:lvlOverride>
    <w:lvlOverride w:ilvl="2">
      <w:startOverride w:val="1"/>
    </w:lvlOverride>
  </w:num>
  <w:num w:numId="17">
    <w:abstractNumId w:val="10"/>
    <w:lvlOverride w:ilvl="0">
      <w:startOverride w:val="4"/>
    </w:lvlOverride>
    <w:lvlOverride w:ilvl="1">
      <w:startOverride w:val="3"/>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36C7"/>
    <w:rsid w:val="0000469B"/>
    <w:rsid w:val="00004CEE"/>
    <w:rsid w:val="000109DD"/>
    <w:rsid w:val="00013028"/>
    <w:rsid w:val="000211B2"/>
    <w:rsid w:val="0002299C"/>
    <w:rsid w:val="00026963"/>
    <w:rsid w:val="000279AC"/>
    <w:rsid w:val="00035FF3"/>
    <w:rsid w:val="00042C24"/>
    <w:rsid w:val="00045553"/>
    <w:rsid w:val="000457A3"/>
    <w:rsid w:val="00051021"/>
    <w:rsid w:val="00051ED9"/>
    <w:rsid w:val="00057181"/>
    <w:rsid w:val="00062762"/>
    <w:rsid w:val="0006473A"/>
    <w:rsid w:val="00064B2D"/>
    <w:rsid w:val="00065F1F"/>
    <w:rsid w:val="0007339D"/>
    <w:rsid w:val="000736D5"/>
    <w:rsid w:val="00076D33"/>
    <w:rsid w:val="0008089D"/>
    <w:rsid w:val="000810AA"/>
    <w:rsid w:val="00081918"/>
    <w:rsid w:val="00082F85"/>
    <w:rsid w:val="000865C9"/>
    <w:rsid w:val="00092CDA"/>
    <w:rsid w:val="000959EA"/>
    <w:rsid w:val="000A27E9"/>
    <w:rsid w:val="000A3D8B"/>
    <w:rsid w:val="000A512E"/>
    <w:rsid w:val="000A5DF8"/>
    <w:rsid w:val="000A6B09"/>
    <w:rsid w:val="000A7AF5"/>
    <w:rsid w:val="000B6AF2"/>
    <w:rsid w:val="000B7C23"/>
    <w:rsid w:val="000C0ACC"/>
    <w:rsid w:val="000C1439"/>
    <w:rsid w:val="000C7085"/>
    <w:rsid w:val="000D08CC"/>
    <w:rsid w:val="000D1ABA"/>
    <w:rsid w:val="000D2B37"/>
    <w:rsid w:val="000D6BAE"/>
    <w:rsid w:val="000D6FD4"/>
    <w:rsid w:val="000D76F3"/>
    <w:rsid w:val="000E0A06"/>
    <w:rsid w:val="000E0AE4"/>
    <w:rsid w:val="000E3DBC"/>
    <w:rsid w:val="000E532F"/>
    <w:rsid w:val="000F0308"/>
    <w:rsid w:val="000F64B4"/>
    <w:rsid w:val="0010559B"/>
    <w:rsid w:val="00106E9F"/>
    <w:rsid w:val="00107204"/>
    <w:rsid w:val="00113CE3"/>
    <w:rsid w:val="00114F8C"/>
    <w:rsid w:val="001171DE"/>
    <w:rsid w:val="00117522"/>
    <w:rsid w:val="00131BB1"/>
    <w:rsid w:val="0013468F"/>
    <w:rsid w:val="00134D3B"/>
    <w:rsid w:val="00136B32"/>
    <w:rsid w:val="00140EF0"/>
    <w:rsid w:val="001531C2"/>
    <w:rsid w:val="001542D8"/>
    <w:rsid w:val="00154A20"/>
    <w:rsid w:val="0016141D"/>
    <w:rsid w:val="00161DAC"/>
    <w:rsid w:val="001677B0"/>
    <w:rsid w:val="001677D8"/>
    <w:rsid w:val="00174F8E"/>
    <w:rsid w:val="00175CD0"/>
    <w:rsid w:val="00180C41"/>
    <w:rsid w:val="00182C4C"/>
    <w:rsid w:val="00183236"/>
    <w:rsid w:val="001873D6"/>
    <w:rsid w:val="00191C63"/>
    <w:rsid w:val="00194EFD"/>
    <w:rsid w:val="00195FB7"/>
    <w:rsid w:val="0019788B"/>
    <w:rsid w:val="00197D8D"/>
    <w:rsid w:val="001A1A75"/>
    <w:rsid w:val="001A7E9A"/>
    <w:rsid w:val="001B037B"/>
    <w:rsid w:val="001B1420"/>
    <w:rsid w:val="001B343A"/>
    <w:rsid w:val="001B60A9"/>
    <w:rsid w:val="001B7BC7"/>
    <w:rsid w:val="001C0676"/>
    <w:rsid w:val="001C09C5"/>
    <w:rsid w:val="001C2562"/>
    <w:rsid w:val="001C27A3"/>
    <w:rsid w:val="001C5295"/>
    <w:rsid w:val="001C61E1"/>
    <w:rsid w:val="001C6DB2"/>
    <w:rsid w:val="001C7411"/>
    <w:rsid w:val="001D054E"/>
    <w:rsid w:val="001D64DC"/>
    <w:rsid w:val="001D6671"/>
    <w:rsid w:val="001D6923"/>
    <w:rsid w:val="001E09FA"/>
    <w:rsid w:val="001E157F"/>
    <w:rsid w:val="001F66EC"/>
    <w:rsid w:val="00203540"/>
    <w:rsid w:val="0020364E"/>
    <w:rsid w:val="0020549D"/>
    <w:rsid w:val="002069F3"/>
    <w:rsid w:val="00207F3D"/>
    <w:rsid w:val="00211A21"/>
    <w:rsid w:val="00215615"/>
    <w:rsid w:val="0021612B"/>
    <w:rsid w:val="0022083A"/>
    <w:rsid w:val="002217E5"/>
    <w:rsid w:val="00221D07"/>
    <w:rsid w:val="00223383"/>
    <w:rsid w:val="00223F0F"/>
    <w:rsid w:val="00223FA0"/>
    <w:rsid w:val="0022449F"/>
    <w:rsid w:val="002256B8"/>
    <w:rsid w:val="00227E4A"/>
    <w:rsid w:val="002313DF"/>
    <w:rsid w:val="0024582E"/>
    <w:rsid w:val="00245C56"/>
    <w:rsid w:val="002547EF"/>
    <w:rsid w:val="00255477"/>
    <w:rsid w:val="00256D65"/>
    <w:rsid w:val="00260BA9"/>
    <w:rsid w:val="00261EEB"/>
    <w:rsid w:val="00266144"/>
    <w:rsid w:val="00267500"/>
    <w:rsid w:val="002713B3"/>
    <w:rsid w:val="00271F00"/>
    <w:rsid w:val="00273A80"/>
    <w:rsid w:val="00274AAE"/>
    <w:rsid w:val="002771C1"/>
    <w:rsid w:val="00281007"/>
    <w:rsid w:val="002834F2"/>
    <w:rsid w:val="00286814"/>
    <w:rsid w:val="0029152E"/>
    <w:rsid w:val="0029204E"/>
    <w:rsid w:val="00292552"/>
    <w:rsid w:val="002959B8"/>
    <w:rsid w:val="0029631C"/>
    <w:rsid w:val="002A0194"/>
    <w:rsid w:val="002A3314"/>
    <w:rsid w:val="002A571D"/>
    <w:rsid w:val="002A5F8B"/>
    <w:rsid w:val="002A7F1B"/>
    <w:rsid w:val="002A7F6C"/>
    <w:rsid w:val="002B3341"/>
    <w:rsid w:val="002C10CF"/>
    <w:rsid w:val="002C3D5D"/>
    <w:rsid w:val="002C74E5"/>
    <w:rsid w:val="002D1D2F"/>
    <w:rsid w:val="002D3BF9"/>
    <w:rsid w:val="002D47F8"/>
    <w:rsid w:val="002D627F"/>
    <w:rsid w:val="002D6809"/>
    <w:rsid w:val="002E1345"/>
    <w:rsid w:val="002F4581"/>
    <w:rsid w:val="002F6488"/>
    <w:rsid w:val="002F64FB"/>
    <w:rsid w:val="002F7278"/>
    <w:rsid w:val="00300462"/>
    <w:rsid w:val="00304429"/>
    <w:rsid w:val="00305EAC"/>
    <w:rsid w:val="003068B6"/>
    <w:rsid w:val="00310F0D"/>
    <w:rsid w:val="0031261A"/>
    <w:rsid w:val="0031692E"/>
    <w:rsid w:val="00320839"/>
    <w:rsid w:val="0032102D"/>
    <w:rsid w:val="003213F9"/>
    <w:rsid w:val="00322657"/>
    <w:rsid w:val="0032293E"/>
    <w:rsid w:val="00322BA9"/>
    <w:rsid w:val="00323DBF"/>
    <w:rsid w:val="0032539C"/>
    <w:rsid w:val="00326D85"/>
    <w:rsid w:val="00327351"/>
    <w:rsid w:val="00330102"/>
    <w:rsid w:val="003309A8"/>
    <w:rsid w:val="00332B12"/>
    <w:rsid w:val="003341AD"/>
    <w:rsid w:val="00336084"/>
    <w:rsid w:val="0034099F"/>
    <w:rsid w:val="00351B07"/>
    <w:rsid w:val="00352CF2"/>
    <w:rsid w:val="00354A8D"/>
    <w:rsid w:val="00356F2A"/>
    <w:rsid w:val="00360380"/>
    <w:rsid w:val="00360D54"/>
    <w:rsid w:val="003623FB"/>
    <w:rsid w:val="00364841"/>
    <w:rsid w:val="0037053B"/>
    <w:rsid w:val="00371A6D"/>
    <w:rsid w:val="00371B29"/>
    <w:rsid w:val="00372B05"/>
    <w:rsid w:val="0037656B"/>
    <w:rsid w:val="00376980"/>
    <w:rsid w:val="00381F14"/>
    <w:rsid w:val="00391769"/>
    <w:rsid w:val="00392D31"/>
    <w:rsid w:val="003953E1"/>
    <w:rsid w:val="003956B3"/>
    <w:rsid w:val="003A2941"/>
    <w:rsid w:val="003A3B63"/>
    <w:rsid w:val="003A68BE"/>
    <w:rsid w:val="003A70EE"/>
    <w:rsid w:val="003B1805"/>
    <w:rsid w:val="003B1E7A"/>
    <w:rsid w:val="003B24A7"/>
    <w:rsid w:val="003B2543"/>
    <w:rsid w:val="003B36D7"/>
    <w:rsid w:val="003B3C9D"/>
    <w:rsid w:val="003B4428"/>
    <w:rsid w:val="003B64E3"/>
    <w:rsid w:val="003B78E0"/>
    <w:rsid w:val="003C06F9"/>
    <w:rsid w:val="003C4969"/>
    <w:rsid w:val="003E1D2B"/>
    <w:rsid w:val="003E41D5"/>
    <w:rsid w:val="003E46BA"/>
    <w:rsid w:val="003E4815"/>
    <w:rsid w:val="003E6E00"/>
    <w:rsid w:val="003E7D22"/>
    <w:rsid w:val="003F2A00"/>
    <w:rsid w:val="003F44F6"/>
    <w:rsid w:val="003F74C1"/>
    <w:rsid w:val="00405B1A"/>
    <w:rsid w:val="00410C76"/>
    <w:rsid w:val="00411907"/>
    <w:rsid w:val="00413CA8"/>
    <w:rsid w:val="00415A30"/>
    <w:rsid w:val="00417EE3"/>
    <w:rsid w:val="004207EB"/>
    <w:rsid w:val="00421F70"/>
    <w:rsid w:val="00422555"/>
    <w:rsid w:val="00423D15"/>
    <w:rsid w:val="00424461"/>
    <w:rsid w:val="00427941"/>
    <w:rsid w:val="0043053C"/>
    <w:rsid w:val="0043291E"/>
    <w:rsid w:val="00437276"/>
    <w:rsid w:val="00440864"/>
    <w:rsid w:val="00443880"/>
    <w:rsid w:val="00447F1E"/>
    <w:rsid w:val="00454FFD"/>
    <w:rsid w:val="00456B54"/>
    <w:rsid w:val="00462CD2"/>
    <w:rsid w:val="00464643"/>
    <w:rsid w:val="00465B3C"/>
    <w:rsid w:val="004714F4"/>
    <w:rsid w:val="00474B70"/>
    <w:rsid w:val="004754BD"/>
    <w:rsid w:val="00476AAE"/>
    <w:rsid w:val="00486793"/>
    <w:rsid w:val="004872F7"/>
    <w:rsid w:val="00492677"/>
    <w:rsid w:val="00492E09"/>
    <w:rsid w:val="004957CD"/>
    <w:rsid w:val="00495CDC"/>
    <w:rsid w:val="004962AF"/>
    <w:rsid w:val="004A07E9"/>
    <w:rsid w:val="004A2037"/>
    <w:rsid w:val="004A2187"/>
    <w:rsid w:val="004A28C2"/>
    <w:rsid w:val="004A36C3"/>
    <w:rsid w:val="004A5757"/>
    <w:rsid w:val="004A66EE"/>
    <w:rsid w:val="004A7DB6"/>
    <w:rsid w:val="004B2F61"/>
    <w:rsid w:val="004B2FA5"/>
    <w:rsid w:val="004B4457"/>
    <w:rsid w:val="004B7759"/>
    <w:rsid w:val="004B7FB5"/>
    <w:rsid w:val="004C1B55"/>
    <w:rsid w:val="004C2CE7"/>
    <w:rsid w:val="004C3F8A"/>
    <w:rsid w:val="004D0C6C"/>
    <w:rsid w:val="004D5FAA"/>
    <w:rsid w:val="004D68C1"/>
    <w:rsid w:val="004E1A08"/>
    <w:rsid w:val="004E1DBD"/>
    <w:rsid w:val="004E2B57"/>
    <w:rsid w:val="004E364F"/>
    <w:rsid w:val="004E7AFF"/>
    <w:rsid w:val="004F05B1"/>
    <w:rsid w:val="004F2724"/>
    <w:rsid w:val="004F4F98"/>
    <w:rsid w:val="004F5696"/>
    <w:rsid w:val="004F69F6"/>
    <w:rsid w:val="004F73E7"/>
    <w:rsid w:val="004F79AC"/>
    <w:rsid w:val="005017CF"/>
    <w:rsid w:val="00501B07"/>
    <w:rsid w:val="00502138"/>
    <w:rsid w:val="00505421"/>
    <w:rsid w:val="0050566E"/>
    <w:rsid w:val="00505F49"/>
    <w:rsid w:val="005144A3"/>
    <w:rsid w:val="005207D8"/>
    <w:rsid w:val="00526786"/>
    <w:rsid w:val="0053011C"/>
    <w:rsid w:val="0053464E"/>
    <w:rsid w:val="00534ED9"/>
    <w:rsid w:val="0054018E"/>
    <w:rsid w:val="0054272D"/>
    <w:rsid w:val="00560724"/>
    <w:rsid w:val="005618B3"/>
    <w:rsid w:val="00561E45"/>
    <w:rsid w:val="00562504"/>
    <w:rsid w:val="00562917"/>
    <w:rsid w:val="00563C7A"/>
    <w:rsid w:val="00566678"/>
    <w:rsid w:val="005709C1"/>
    <w:rsid w:val="00570D92"/>
    <w:rsid w:val="005727F1"/>
    <w:rsid w:val="0057615C"/>
    <w:rsid w:val="005778CB"/>
    <w:rsid w:val="005804B2"/>
    <w:rsid w:val="00584FEF"/>
    <w:rsid w:val="00586228"/>
    <w:rsid w:val="005864BB"/>
    <w:rsid w:val="0058660F"/>
    <w:rsid w:val="00593D4E"/>
    <w:rsid w:val="00597E88"/>
    <w:rsid w:val="005A1D97"/>
    <w:rsid w:val="005A58F3"/>
    <w:rsid w:val="005A7C82"/>
    <w:rsid w:val="005B1196"/>
    <w:rsid w:val="005B6AF4"/>
    <w:rsid w:val="005B7A73"/>
    <w:rsid w:val="005C04CB"/>
    <w:rsid w:val="005C11DD"/>
    <w:rsid w:val="005C2833"/>
    <w:rsid w:val="005C367D"/>
    <w:rsid w:val="005C7A9D"/>
    <w:rsid w:val="005D0629"/>
    <w:rsid w:val="005D16AD"/>
    <w:rsid w:val="005D3CB5"/>
    <w:rsid w:val="005D72E1"/>
    <w:rsid w:val="005D7942"/>
    <w:rsid w:val="005E1FAD"/>
    <w:rsid w:val="005E372C"/>
    <w:rsid w:val="005E4115"/>
    <w:rsid w:val="005E4EBC"/>
    <w:rsid w:val="005E6E16"/>
    <w:rsid w:val="005F10FF"/>
    <w:rsid w:val="005F400E"/>
    <w:rsid w:val="005F526E"/>
    <w:rsid w:val="005F65EC"/>
    <w:rsid w:val="005F7230"/>
    <w:rsid w:val="005F7342"/>
    <w:rsid w:val="006013C1"/>
    <w:rsid w:val="006016B9"/>
    <w:rsid w:val="00603A08"/>
    <w:rsid w:val="006076BE"/>
    <w:rsid w:val="00610063"/>
    <w:rsid w:val="00610A3C"/>
    <w:rsid w:val="00610BE2"/>
    <w:rsid w:val="00611E37"/>
    <w:rsid w:val="006153B5"/>
    <w:rsid w:val="00615811"/>
    <w:rsid w:val="00621929"/>
    <w:rsid w:val="00623237"/>
    <w:rsid w:val="00627F48"/>
    <w:rsid w:val="00630C23"/>
    <w:rsid w:val="00633832"/>
    <w:rsid w:val="00636CB0"/>
    <w:rsid w:val="00641395"/>
    <w:rsid w:val="00641AE4"/>
    <w:rsid w:val="006460AB"/>
    <w:rsid w:val="0065154C"/>
    <w:rsid w:val="006520BC"/>
    <w:rsid w:val="00654915"/>
    <w:rsid w:val="006610FE"/>
    <w:rsid w:val="00663FCF"/>
    <w:rsid w:val="006652A2"/>
    <w:rsid w:val="00666C29"/>
    <w:rsid w:val="00670C0A"/>
    <w:rsid w:val="00673C49"/>
    <w:rsid w:val="0068147E"/>
    <w:rsid w:val="00681A8E"/>
    <w:rsid w:val="006861B8"/>
    <w:rsid w:val="00690206"/>
    <w:rsid w:val="00690804"/>
    <w:rsid w:val="006937FF"/>
    <w:rsid w:val="006A11A6"/>
    <w:rsid w:val="006A48A7"/>
    <w:rsid w:val="006B4BA1"/>
    <w:rsid w:val="006B5EBE"/>
    <w:rsid w:val="006B718C"/>
    <w:rsid w:val="006C0FA4"/>
    <w:rsid w:val="006C172C"/>
    <w:rsid w:val="006C1E1C"/>
    <w:rsid w:val="006C59BE"/>
    <w:rsid w:val="006C5CF5"/>
    <w:rsid w:val="006C6C4B"/>
    <w:rsid w:val="006C6D48"/>
    <w:rsid w:val="006E1055"/>
    <w:rsid w:val="006E2768"/>
    <w:rsid w:val="006E4A81"/>
    <w:rsid w:val="006E54EF"/>
    <w:rsid w:val="006E7A51"/>
    <w:rsid w:val="006F4A82"/>
    <w:rsid w:val="0070373B"/>
    <w:rsid w:val="0070570C"/>
    <w:rsid w:val="00706A3D"/>
    <w:rsid w:val="00712F84"/>
    <w:rsid w:val="007142AA"/>
    <w:rsid w:val="00716016"/>
    <w:rsid w:val="00716613"/>
    <w:rsid w:val="0071703A"/>
    <w:rsid w:val="0072057E"/>
    <w:rsid w:val="00724574"/>
    <w:rsid w:val="00724FA4"/>
    <w:rsid w:val="00730800"/>
    <w:rsid w:val="007333F2"/>
    <w:rsid w:val="00734FF7"/>
    <w:rsid w:val="007378FB"/>
    <w:rsid w:val="007415CB"/>
    <w:rsid w:val="00754A61"/>
    <w:rsid w:val="007602AA"/>
    <w:rsid w:val="00760647"/>
    <w:rsid w:val="007652EF"/>
    <w:rsid w:val="00766D79"/>
    <w:rsid w:val="0077010F"/>
    <w:rsid w:val="00771CA1"/>
    <w:rsid w:val="00772BDC"/>
    <w:rsid w:val="0077319E"/>
    <w:rsid w:val="00773760"/>
    <w:rsid w:val="0077399B"/>
    <w:rsid w:val="00774455"/>
    <w:rsid w:val="00775D35"/>
    <w:rsid w:val="00780792"/>
    <w:rsid w:val="00787A83"/>
    <w:rsid w:val="00792F20"/>
    <w:rsid w:val="0079496A"/>
    <w:rsid w:val="00796562"/>
    <w:rsid w:val="007A0D4E"/>
    <w:rsid w:val="007A1987"/>
    <w:rsid w:val="007A2A3B"/>
    <w:rsid w:val="007A44B4"/>
    <w:rsid w:val="007A6ECC"/>
    <w:rsid w:val="007A7D3D"/>
    <w:rsid w:val="007B225D"/>
    <w:rsid w:val="007B6648"/>
    <w:rsid w:val="007C174F"/>
    <w:rsid w:val="007C1C64"/>
    <w:rsid w:val="007C5C1A"/>
    <w:rsid w:val="007C688D"/>
    <w:rsid w:val="007C7179"/>
    <w:rsid w:val="007C769A"/>
    <w:rsid w:val="007C7983"/>
    <w:rsid w:val="007D03EA"/>
    <w:rsid w:val="007D2120"/>
    <w:rsid w:val="007D7E46"/>
    <w:rsid w:val="007E48BC"/>
    <w:rsid w:val="007E57FA"/>
    <w:rsid w:val="007E79F7"/>
    <w:rsid w:val="007F0E57"/>
    <w:rsid w:val="007F198A"/>
    <w:rsid w:val="007F1F71"/>
    <w:rsid w:val="007F3158"/>
    <w:rsid w:val="007F3630"/>
    <w:rsid w:val="007F5D61"/>
    <w:rsid w:val="007F5FAD"/>
    <w:rsid w:val="00805A20"/>
    <w:rsid w:val="00807559"/>
    <w:rsid w:val="008141C5"/>
    <w:rsid w:val="00815631"/>
    <w:rsid w:val="008174CC"/>
    <w:rsid w:val="00817A18"/>
    <w:rsid w:val="00821B77"/>
    <w:rsid w:val="008236B5"/>
    <w:rsid w:val="008242A2"/>
    <w:rsid w:val="00824B8E"/>
    <w:rsid w:val="00830779"/>
    <w:rsid w:val="0083289D"/>
    <w:rsid w:val="00833677"/>
    <w:rsid w:val="0083728E"/>
    <w:rsid w:val="0084054D"/>
    <w:rsid w:val="00842791"/>
    <w:rsid w:val="00842BB1"/>
    <w:rsid w:val="008450BC"/>
    <w:rsid w:val="00851BE4"/>
    <w:rsid w:val="0085334B"/>
    <w:rsid w:val="008611A5"/>
    <w:rsid w:val="00861C86"/>
    <w:rsid w:val="008643D6"/>
    <w:rsid w:val="0086489A"/>
    <w:rsid w:val="00867137"/>
    <w:rsid w:val="00870214"/>
    <w:rsid w:val="008720A2"/>
    <w:rsid w:val="00873FD1"/>
    <w:rsid w:val="0087406B"/>
    <w:rsid w:val="00874571"/>
    <w:rsid w:val="00880001"/>
    <w:rsid w:val="00885C51"/>
    <w:rsid w:val="00885EB0"/>
    <w:rsid w:val="00891F4B"/>
    <w:rsid w:val="0089264A"/>
    <w:rsid w:val="00893C3B"/>
    <w:rsid w:val="00896A24"/>
    <w:rsid w:val="00896B85"/>
    <w:rsid w:val="0089785B"/>
    <w:rsid w:val="008A08C5"/>
    <w:rsid w:val="008A0BC6"/>
    <w:rsid w:val="008A1485"/>
    <w:rsid w:val="008A22BE"/>
    <w:rsid w:val="008A3C55"/>
    <w:rsid w:val="008A75D3"/>
    <w:rsid w:val="008B07C9"/>
    <w:rsid w:val="008B1533"/>
    <w:rsid w:val="008B3AFF"/>
    <w:rsid w:val="008B60AD"/>
    <w:rsid w:val="008B6A93"/>
    <w:rsid w:val="008B7965"/>
    <w:rsid w:val="008B7B1A"/>
    <w:rsid w:val="008C151D"/>
    <w:rsid w:val="008C1B36"/>
    <w:rsid w:val="008C1B42"/>
    <w:rsid w:val="008C262F"/>
    <w:rsid w:val="008C5D29"/>
    <w:rsid w:val="008C7908"/>
    <w:rsid w:val="008D06C6"/>
    <w:rsid w:val="008D3E73"/>
    <w:rsid w:val="008D3F4C"/>
    <w:rsid w:val="008E3FE2"/>
    <w:rsid w:val="008E6250"/>
    <w:rsid w:val="008E7BE8"/>
    <w:rsid w:val="008F2252"/>
    <w:rsid w:val="008F2B6E"/>
    <w:rsid w:val="008F448E"/>
    <w:rsid w:val="00902AF6"/>
    <w:rsid w:val="009037FD"/>
    <w:rsid w:val="00904AA1"/>
    <w:rsid w:val="00906B3D"/>
    <w:rsid w:val="0092005F"/>
    <w:rsid w:val="00920249"/>
    <w:rsid w:val="00924C80"/>
    <w:rsid w:val="00925838"/>
    <w:rsid w:val="00926529"/>
    <w:rsid w:val="00931F51"/>
    <w:rsid w:val="00932F14"/>
    <w:rsid w:val="009375F4"/>
    <w:rsid w:val="0094247F"/>
    <w:rsid w:val="00942D60"/>
    <w:rsid w:val="00943664"/>
    <w:rsid w:val="009443DD"/>
    <w:rsid w:val="00946EA7"/>
    <w:rsid w:val="00946EFD"/>
    <w:rsid w:val="009528AD"/>
    <w:rsid w:val="00955ECA"/>
    <w:rsid w:val="009566BD"/>
    <w:rsid w:val="00963086"/>
    <w:rsid w:val="00963144"/>
    <w:rsid w:val="00964F9D"/>
    <w:rsid w:val="0096523B"/>
    <w:rsid w:val="00966EE3"/>
    <w:rsid w:val="00972D06"/>
    <w:rsid w:val="00984505"/>
    <w:rsid w:val="00984750"/>
    <w:rsid w:val="00990533"/>
    <w:rsid w:val="00993785"/>
    <w:rsid w:val="00995988"/>
    <w:rsid w:val="00996436"/>
    <w:rsid w:val="009974FF"/>
    <w:rsid w:val="009A1349"/>
    <w:rsid w:val="009A391C"/>
    <w:rsid w:val="009A41CB"/>
    <w:rsid w:val="009A50F2"/>
    <w:rsid w:val="009A6892"/>
    <w:rsid w:val="009A68E5"/>
    <w:rsid w:val="009B2AC7"/>
    <w:rsid w:val="009C527C"/>
    <w:rsid w:val="009C555E"/>
    <w:rsid w:val="009C6735"/>
    <w:rsid w:val="009C71DA"/>
    <w:rsid w:val="009D381F"/>
    <w:rsid w:val="009D59CC"/>
    <w:rsid w:val="009E0A61"/>
    <w:rsid w:val="009E3010"/>
    <w:rsid w:val="009E3079"/>
    <w:rsid w:val="009F007E"/>
    <w:rsid w:val="009F1485"/>
    <w:rsid w:val="009F2CD6"/>
    <w:rsid w:val="009F592F"/>
    <w:rsid w:val="009F7065"/>
    <w:rsid w:val="00A00E7B"/>
    <w:rsid w:val="00A035D0"/>
    <w:rsid w:val="00A073BF"/>
    <w:rsid w:val="00A1309A"/>
    <w:rsid w:val="00A4175D"/>
    <w:rsid w:val="00A469AA"/>
    <w:rsid w:val="00A530A4"/>
    <w:rsid w:val="00A54E1C"/>
    <w:rsid w:val="00A56DC7"/>
    <w:rsid w:val="00A57601"/>
    <w:rsid w:val="00A57BB1"/>
    <w:rsid w:val="00A641FC"/>
    <w:rsid w:val="00A7099A"/>
    <w:rsid w:val="00A71E3A"/>
    <w:rsid w:val="00A74D44"/>
    <w:rsid w:val="00A74FD1"/>
    <w:rsid w:val="00A76F71"/>
    <w:rsid w:val="00A77BFA"/>
    <w:rsid w:val="00A831DE"/>
    <w:rsid w:val="00A84A58"/>
    <w:rsid w:val="00A93390"/>
    <w:rsid w:val="00A940E8"/>
    <w:rsid w:val="00AA13BD"/>
    <w:rsid w:val="00AB5D35"/>
    <w:rsid w:val="00AC1E37"/>
    <w:rsid w:val="00AC333E"/>
    <w:rsid w:val="00AD472A"/>
    <w:rsid w:val="00AE5426"/>
    <w:rsid w:val="00AE7074"/>
    <w:rsid w:val="00AE7683"/>
    <w:rsid w:val="00AF06FC"/>
    <w:rsid w:val="00AF3391"/>
    <w:rsid w:val="00AF387F"/>
    <w:rsid w:val="00B00E7F"/>
    <w:rsid w:val="00B0749B"/>
    <w:rsid w:val="00B11F02"/>
    <w:rsid w:val="00B12A32"/>
    <w:rsid w:val="00B12F1E"/>
    <w:rsid w:val="00B14092"/>
    <w:rsid w:val="00B151DA"/>
    <w:rsid w:val="00B173DA"/>
    <w:rsid w:val="00B20D52"/>
    <w:rsid w:val="00B21DCC"/>
    <w:rsid w:val="00B231D0"/>
    <w:rsid w:val="00B23352"/>
    <w:rsid w:val="00B25F37"/>
    <w:rsid w:val="00B2643C"/>
    <w:rsid w:val="00B27F9B"/>
    <w:rsid w:val="00B3283C"/>
    <w:rsid w:val="00B32E33"/>
    <w:rsid w:val="00B34676"/>
    <w:rsid w:val="00B37BF0"/>
    <w:rsid w:val="00B37CDB"/>
    <w:rsid w:val="00B41344"/>
    <w:rsid w:val="00B41C1C"/>
    <w:rsid w:val="00B421DC"/>
    <w:rsid w:val="00B44422"/>
    <w:rsid w:val="00B46800"/>
    <w:rsid w:val="00B46EA0"/>
    <w:rsid w:val="00B478DA"/>
    <w:rsid w:val="00B54DA3"/>
    <w:rsid w:val="00B5681D"/>
    <w:rsid w:val="00B60DD5"/>
    <w:rsid w:val="00B62CEE"/>
    <w:rsid w:val="00B731D3"/>
    <w:rsid w:val="00B74C47"/>
    <w:rsid w:val="00B839A3"/>
    <w:rsid w:val="00B84599"/>
    <w:rsid w:val="00B84E52"/>
    <w:rsid w:val="00B858BC"/>
    <w:rsid w:val="00B86B11"/>
    <w:rsid w:val="00B902BD"/>
    <w:rsid w:val="00BA24E2"/>
    <w:rsid w:val="00BA2F4F"/>
    <w:rsid w:val="00BA3301"/>
    <w:rsid w:val="00BA58C6"/>
    <w:rsid w:val="00BB02E9"/>
    <w:rsid w:val="00BB77A8"/>
    <w:rsid w:val="00BC2DFE"/>
    <w:rsid w:val="00BD09C4"/>
    <w:rsid w:val="00BD2A39"/>
    <w:rsid w:val="00BD2E80"/>
    <w:rsid w:val="00BE11B8"/>
    <w:rsid w:val="00BE47CE"/>
    <w:rsid w:val="00BF587A"/>
    <w:rsid w:val="00BF7FF0"/>
    <w:rsid w:val="00C01AF0"/>
    <w:rsid w:val="00C04ECA"/>
    <w:rsid w:val="00C057F4"/>
    <w:rsid w:val="00C11975"/>
    <w:rsid w:val="00C12502"/>
    <w:rsid w:val="00C1253E"/>
    <w:rsid w:val="00C16A3E"/>
    <w:rsid w:val="00C20D54"/>
    <w:rsid w:val="00C21687"/>
    <w:rsid w:val="00C226DE"/>
    <w:rsid w:val="00C2293F"/>
    <w:rsid w:val="00C23C6C"/>
    <w:rsid w:val="00C30447"/>
    <w:rsid w:val="00C309FA"/>
    <w:rsid w:val="00C36578"/>
    <w:rsid w:val="00C40AA5"/>
    <w:rsid w:val="00C4340E"/>
    <w:rsid w:val="00C46F70"/>
    <w:rsid w:val="00C476D0"/>
    <w:rsid w:val="00C51305"/>
    <w:rsid w:val="00C52852"/>
    <w:rsid w:val="00C551C2"/>
    <w:rsid w:val="00C55E82"/>
    <w:rsid w:val="00C61AC1"/>
    <w:rsid w:val="00C728F7"/>
    <w:rsid w:val="00C76F61"/>
    <w:rsid w:val="00C77A77"/>
    <w:rsid w:val="00C77DAF"/>
    <w:rsid w:val="00C8134A"/>
    <w:rsid w:val="00C81E6E"/>
    <w:rsid w:val="00C835F5"/>
    <w:rsid w:val="00C836E3"/>
    <w:rsid w:val="00C8626A"/>
    <w:rsid w:val="00C86577"/>
    <w:rsid w:val="00C91936"/>
    <w:rsid w:val="00C92E07"/>
    <w:rsid w:val="00C96868"/>
    <w:rsid w:val="00CA0416"/>
    <w:rsid w:val="00CA2A00"/>
    <w:rsid w:val="00CA641D"/>
    <w:rsid w:val="00CB250E"/>
    <w:rsid w:val="00CB6CBC"/>
    <w:rsid w:val="00CB73C6"/>
    <w:rsid w:val="00CC18B4"/>
    <w:rsid w:val="00CC560B"/>
    <w:rsid w:val="00CC58F7"/>
    <w:rsid w:val="00CC7404"/>
    <w:rsid w:val="00CC75E2"/>
    <w:rsid w:val="00CD198E"/>
    <w:rsid w:val="00CD1A7F"/>
    <w:rsid w:val="00CD3BF1"/>
    <w:rsid w:val="00CD46EB"/>
    <w:rsid w:val="00CD7839"/>
    <w:rsid w:val="00CD7EBF"/>
    <w:rsid w:val="00CE18E4"/>
    <w:rsid w:val="00CE3FA7"/>
    <w:rsid w:val="00CE3FBC"/>
    <w:rsid w:val="00CF0106"/>
    <w:rsid w:val="00CF31C0"/>
    <w:rsid w:val="00CF40EF"/>
    <w:rsid w:val="00D02921"/>
    <w:rsid w:val="00D056F1"/>
    <w:rsid w:val="00D109ED"/>
    <w:rsid w:val="00D11171"/>
    <w:rsid w:val="00D14A64"/>
    <w:rsid w:val="00D20389"/>
    <w:rsid w:val="00D22F3C"/>
    <w:rsid w:val="00D23DB6"/>
    <w:rsid w:val="00D24A70"/>
    <w:rsid w:val="00D2771F"/>
    <w:rsid w:val="00D31D46"/>
    <w:rsid w:val="00D3447B"/>
    <w:rsid w:val="00D35B03"/>
    <w:rsid w:val="00D405A2"/>
    <w:rsid w:val="00D4143B"/>
    <w:rsid w:val="00D4148C"/>
    <w:rsid w:val="00D43FE6"/>
    <w:rsid w:val="00D4502A"/>
    <w:rsid w:val="00D456F7"/>
    <w:rsid w:val="00D51A95"/>
    <w:rsid w:val="00D5658D"/>
    <w:rsid w:val="00D60568"/>
    <w:rsid w:val="00D61971"/>
    <w:rsid w:val="00D7081B"/>
    <w:rsid w:val="00D70C7A"/>
    <w:rsid w:val="00D72CFA"/>
    <w:rsid w:val="00D73E38"/>
    <w:rsid w:val="00D77037"/>
    <w:rsid w:val="00D7795A"/>
    <w:rsid w:val="00D81D38"/>
    <w:rsid w:val="00D84E0E"/>
    <w:rsid w:val="00D91075"/>
    <w:rsid w:val="00D911D1"/>
    <w:rsid w:val="00D91AAC"/>
    <w:rsid w:val="00D9620E"/>
    <w:rsid w:val="00DA0AEF"/>
    <w:rsid w:val="00DA10A8"/>
    <w:rsid w:val="00DA21B7"/>
    <w:rsid w:val="00DA4C8F"/>
    <w:rsid w:val="00DA6F1B"/>
    <w:rsid w:val="00DA7CC3"/>
    <w:rsid w:val="00DB1E08"/>
    <w:rsid w:val="00DB2973"/>
    <w:rsid w:val="00DC137A"/>
    <w:rsid w:val="00DC1B56"/>
    <w:rsid w:val="00DC1E46"/>
    <w:rsid w:val="00DC2129"/>
    <w:rsid w:val="00DC5926"/>
    <w:rsid w:val="00DC6570"/>
    <w:rsid w:val="00DD3C5E"/>
    <w:rsid w:val="00DF25C3"/>
    <w:rsid w:val="00E023FD"/>
    <w:rsid w:val="00E02CC2"/>
    <w:rsid w:val="00E03E08"/>
    <w:rsid w:val="00E04062"/>
    <w:rsid w:val="00E063C6"/>
    <w:rsid w:val="00E066BA"/>
    <w:rsid w:val="00E13BC0"/>
    <w:rsid w:val="00E140CE"/>
    <w:rsid w:val="00E158D9"/>
    <w:rsid w:val="00E1674D"/>
    <w:rsid w:val="00E175C3"/>
    <w:rsid w:val="00E2003B"/>
    <w:rsid w:val="00E203C2"/>
    <w:rsid w:val="00E226CA"/>
    <w:rsid w:val="00E23CB4"/>
    <w:rsid w:val="00E279D8"/>
    <w:rsid w:val="00E30074"/>
    <w:rsid w:val="00E319B1"/>
    <w:rsid w:val="00E34F37"/>
    <w:rsid w:val="00E426FB"/>
    <w:rsid w:val="00E43A89"/>
    <w:rsid w:val="00E44E0D"/>
    <w:rsid w:val="00E51006"/>
    <w:rsid w:val="00E510D5"/>
    <w:rsid w:val="00E522FC"/>
    <w:rsid w:val="00E5492F"/>
    <w:rsid w:val="00E62DEF"/>
    <w:rsid w:val="00E661BE"/>
    <w:rsid w:val="00E66506"/>
    <w:rsid w:val="00E70A86"/>
    <w:rsid w:val="00E71A0D"/>
    <w:rsid w:val="00E777EC"/>
    <w:rsid w:val="00E80304"/>
    <w:rsid w:val="00E80FCD"/>
    <w:rsid w:val="00E844B9"/>
    <w:rsid w:val="00E85CAE"/>
    <w:rsid w:val="00E91E63"/>
    <w:rsid w:val="00E91F4D"/>
    <w:rsid w:val="00E9435E"/>
    <w:rsid w:val="00E94A39"/>
    <w:rsid w:val="00EA1803"/>
    <w:rsid w:val="00EA403C"/>
    <w:rsid w:val="00EA7F2F"/>
    <w:rsid w:val="00EB1E78"/>
    <w:rsid w:val="00EB1E85"/>
    <w:rsid w:val="00EB37D5"/>
    <w:rsid w:val="00EB559E"/>
    <w:rsid w:val="00EB6109"/>
    <w:rsid w:val="00EC00DE"/>
    <w:rsid w:val="00EC30E1"/>
    <w:rsid w:val="00EC4A15"/>
    <w:rsid w:val="00ED172A"/>
    <w:rsid w:val="00EE0D42"/>
    <w:rsid w:val="00EF6092"/>
    <w:rsid w:val="00EF6C8A"/>
    <w:rsid w:val="00F002E7"/>
    <w:rsid w:val="00F02804"/>
    <w:rsid w:val="00F0537B"/>
    <w:rsid w:val="00F0697E"/>
    <w:rsid w:val="00F11322"/>
    <w:rsid w:val="00F119CF"/>
    <w:rsid w:val="00F11F6C"/>
    <w:rsid w:val="00F12CEF"/>
    <w:rsid w:val="00F14BEC"/>
    <w:rsid w:val="00F14CEE"/>
    <w:rsid w:val="00F150EC"/>
    <w:rsid w:val="00F20C6B"/>
    <w:rsid w:val="00F20E4E"/>
    <w:rsid w:val="00F225C5"/>
    <w:rsid w:val="00F2587A"/>
    <w:rsid w:val="00F26BD1"/>
    <w:rsid w:val="00F304FE"/>
    <w:rsid w:val="00F320C7"/>
    <w:rsid w:val="00F36A47"/>
    <w:rsid w:val="00F3715D"/>
    <w:rsid w:val="00F40AE1"/>
    <w:rsid w:val="00F420C8"/>
    <w:rsid w:val="00F42A4C"/>
    <w:rsid w:val="00F43A8C"/>
    <w:rsid w:val="00F52616"/>
    <w:rsid w:val="00F5737C"/>
    <w:rsid w:val="00F604DE"/>
    <w:rsid w:val="00F60B8E"/>
    <w:rsid w:val="00F60F7E"/>
    <w:rsid w:val="00F61C6E"/>
    <w:rsid w:val="00F7036D"/>
    <w:rsid w:val="00F70EC7"/>
    <w:rsid w:val="00F74141"/>
    <w:rsid w:val="00F755BB"/>
    <w:rsid w:val="00F77EEC"/>
    <w:rsid w:val="00F85AFE"/>
    <w:rsid w:val="00F861C4"/>
    <w:rsid w:val="00F87347"/>
    <w:rsid w:val="00F926D3"/>
    <w:rsid w:val="00FA2483"/>
    <w:rsid w:val="00FA31AD"/>
    <w:rsid w:val="00FB0400"/>
    <w:rsid w:val="00FB0773"/>
    <w:rsid w:val="00FB37C7"/>
    <w:rsid w:val="00FB7026"/>
    <w:rsid w:val="00FB7512"/>
    <w:rsid w:val="00FC03DB"/>
    <w:rsid w:val="00FC0CD1"/>
    <w:rsid w:val="00FC329D"/>
    <w:rsid w:val="00FC4C08"/>
    <w:rsid w:val="00FC5A35"/>
    <w:rsid w:val="00FD1069"/>
    <w:rsid w:val="00FD2780"/>
    <w:rsid w:val="00FD7547"/>
    <w:rsid w:val="00FE0206"/>
    <w:rsid w:val="00FE154E"/>
    <w:rsid w:val="00FE3A00"/>
    <w:rsid w:val="00FE48A2"/>
    <w:rsid w:val="00FE58C8"/>
    <w:rsid w:val="00FF0E8E"/>
    <w:rsid w:val="00FF397C"/>
    <w:rsid w:val="00FF5F5C"/>
    <w:rsid w:val="00F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7CB9994"/>
  <w15:docId w15:val="{7DB41C2D-B3A4-4140-8670-87EC794F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817A18"/>
    <w:pPr>
      <w:keepNext/>
      <w:numPr>
        <w:ilvl w:val="1"/>
        <w:numId w:val="5"/>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EA1803"/>
    <w:pPr>
      <w:keepNext/>
      <w:widowControl/>
      <w:spacing w:before="240" w:after="240"/>
      <w:ind w:left="720" w:hanging="72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numPr>
        <w:ilvl w:val="4"/>
        <w:numId w:val="5"/>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817A18"/>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EA1803"/>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Table2">
    <w:name w:val="Table 2"/>
    <w:basedOn w:val="Normal"/>
    <w:uiPriority w:val="20"/>
    <w:qFormat/>
    <w:rsid w:val="00724574"/>
    <w:pPr>
      <w:widowControl/>
      <w:ind w:left="142" w:hanging="142"/>
    </w:pPr>
    <w:rPr>
      <w:bCs/>
      <w:sz w:val="18"/>
      <w:szCs w:val="20"/>
      <w:lang w:bidi="ar-SA"/>
    </w:rPr>
  </w:style>
  <w:style w:type="paragraph" w:customStyle="1" w:styleId="131ItemHeading">
    <w:name w:val="1.3.1 Item Heading"/>
    <w:basedOn w:val="Table2"/>
    <w:next w:val="Table2"/>
    <w:uiPriority w:val="22"/>
    <w:qFormat/>
    <w:rsid w:val="00724574"/>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724574"/>
    <w:pPr>
      <w:spacing w:after="120"/>
    </w:pPr>
    <w:rPr>
      <w:caps w:val="0"/>
      <w:sz w:val="18"/>
    </w:rPr>
  </w:style>
  <w:style w:type="paragraph" w:customStyle="1" w:styleId="142Tableheading1">
    <w:name w:val="1.4.2 Table heading1"/>
    <w:basedOn w:val="Normal"/>
    <w:uiPriority w:val="22"/>
    <w:qFormat/>
    <w:rsid w:val="00724574"/>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724574"/>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724574"/>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724574"/>
    <w:rPr>
      <w:rFonts w:ascii="Arial" w:hAnsi="Arial"/>
      <w:sz w:val="18"/>
      <w:lang w:eastAsia="en-US"/>
    </w:rPr>
  </w:style>
  <w:style w:type="paragraph" w:customStyle="1" w:styleId="142Tabletext2">
    <w:name w:val="1.4.2 Table text2"/>
    <w:basedOn w:val="142Tabletext1"/>
    <w:uiPriority w:val="22"/>
    <w:qFormat/>
    <w:rsid w:val="00724574"/>
    <w:pPr>
      <w:jc w:val="right"/>
    </w:pPr>
  </w:style>
  <w:style w:type="paragraph" w:customStyle="1" w:styleId="Blankpage">
    <w:name w:val="Blank page"/>
    <w:basedOn w:val="Normal"/>
    <w:next w:val="Normal"/>
    <w:uiPriority w:val="23"/>
    <w:qFormat/>
    <w:rsid w:val="00724574"/>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724574"/>
    <w:pPr>
      <w:widowControl/>
      <w:tabs>
        <w:tab w:val="left" w:pos="851"/>
      </w:tabs>
    </w:pPr>
    <w:rPr>
      <w:sz w:val="20"/>
      <w:szCs w:val="20"/>
      <w:lang w:bidi="ar-SA"/>
    </w:rPr>
  </w:style>
  <w:style w:type="character" w:customStyle="1" w:styleId="ClauseChar">
    <w:name w:val="Clause Char"/>
    <w:basedOn w:val="DefaultParagraphFont"/>
    <w:link w:val="Clause"/>
    <w:uiPriority w:val="10"/>
    <w:rsid w:val="00724574"/>
    <w:rPr>
      <w:rFonts w:ascii="Arial" w:hAnsi="Arial"/>
      <w:lang w:eastAsia="en-US"/>
    </w:rPr>
  </w:style>
  <w:style w:type="paragraph" w:customStyle="1" w:styleId="Clauseheading">
    <w:name w:val="Clause heading"/>
    <w:basedOn w:val="Normal"/>
    <w:next w:val="Normal"/>
    <w:uiPriority w:val="14"/>
    <w:qFormat/>
    <w:rsid w:val="00724574"/>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724574"/>
    <w:pPr>
      <w:tabs>
        <w:tab w:val="clear" w:pos="851"/>
      </w:tabs>
      <w:ind w:left="851" w:hanging="851"/>
    </w:pPr>
  </w:style>
  <w:style w:type="paragraph" w:customStyle="1" w:styleId="Definition">
    <w:name w:val="Definition"/>
    <w:basedOn w:val="Normal"/>
    <w:next w:val="Normal"/>
    <w:uiPriority w:val="15"/>
    <w:qFormat/>
    <w:rsid w:val="00724574"/>
    <w:pPr>
      <w:widowControl/>
      <w:ind w:left="1701" w:hanging="851"/>
    </w:pPr>
    <w:rPr>
      <w:sz w:val="20"/>
      <w:szCs w:val="20"/>
      <w:lang w:bidi="ar-SA"/>
    </w:rPr>
  </w:style>
  <w:style w:type="paragraph" w:customStyle="1" w:styleId="DivisionHeading">
    <w:name w:val="Division Heading"/>
    <w:basedOn w:val="Normal"/>
    <w:next w:val="Normal"/>
    <w:uiPriority w:val="15"/>
    <w:qFormat/>
    <w:rsid w:val="00724574"/>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724574"/>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724574"/>
  </w:style>
  <w:style w:type="character" w:customStyle="1" w:styleId="FooterChar">
    <w:name w:val="Footer Char"/>
    <w:aliases w:val="FSFooter Char"/>
    <w:basedOn w:val="DefaultParagraphFont"/>
    <w:link w:val="Footer"/>
    <w:uiPriority w:val="99"/>
    <w:rsid w:val="00724574"/>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724574"/>
    <w:rPr>
      <w:rFonts w:ascii="Arial" w:hAnsi="Arial"/>
      <w:lang w:eastAsia="en-US" w:bidi="en-US"/>
    </w:rPr>
  </w:style>
  <w:style w:type="paragraph" w:customStyle="1" w:styleId="FSCaption">
    <w:name w:val="FSCaption"/>
    <w:basedOn w:val="Normal"/>
    <w:uiPriority w:val="9"/>
    <w:qFormat/>
    <w:locked/>
    <w:rsid w:val="00724574"/>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724574"/>
    <w:pPr>
      <w:widowControl/>
    </w:pPr>
    <w:rPr>
      <w:sz w:val="16"/>
      <w:szCs w:val="20"/>
      <w:lang w:bidi="ar-SA"/>
    </w:rPr>
  </w:style>
  <w:style w:type="paragraph" w:customStyle="1" w:styleId="FSCFooter0">
    <w:name w:val="FSCFooter"/>
    <w:basedOn w:val="FSCFootnote"/>
    <w:uiPriority w:val="17"/>
    <w:qFormat/>
    <w:locked/>
    <w:rsid w:val="00724574"/>
    <w:pPr>
      <w:tabs>
        <w:tab w:val="center" w:pos="4536"/>
        <w:tab w:val="right" w:pos="9070"/>
      </w:tabs>
    </w:pPr>
    <w:rPr>
      <w:sz w:val="18"/>
      <w:szCs w:val="18"/>
    </w:rPr>
  </w:style>
  <w:style w:type="paragraph" w:customStyle="1" w:styleId="FSPagenumber">
    <w:name w:val="FSPage number"/>
    <w:basedOn w:val="Normal"/>
    <w:uiPriority w:val="1"/>
    <w:qFormat/>
    <w:locked/>
    <w:rsid w:val="00724574"/>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724574"/>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724574"/>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724574"/>
    <w:pPr>
      <w:tabs>
        <w:tab w:val="clear" w:pos="851"/>
      </w:tabs>
      <w:ind w:left="1702" w:hanging="851"/>
    </w:pPr>
  </w:style>
  <w:style w:type="paragraph" w:customStyle="1" w:styleId="ScheduleHeading">
    <w:name w:val="Schedule Heading"/>
    <w:basedOn w:val="Normal"/>
    <w:next w:val="Normal"/>
    <w:uiPriority w:val="18"/>
    <w:qFormat/>
    <w:rsid w:val="00724574"/>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724574"/>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724574"/>
    <w:pPr>
      <w:ind w:left="567" w:hanging="567"/>
    </w:pPr>
  </w:style>
  <w:style w:type="paragraph" w:customStyle="1" w:styleId="Subparagraph">
    <w:name w:val="Subparagraph"/>
    <w:basedOn w:val="Paragraph"/>
    <w:next w:val="Normal"/>
    <w:uiPriority w:val="13"/>
    <w:qFormat/>
    <w:rsid w:val="00724574"/>
  </w:style>
  <w:style w:type="paragraph" w:customStyle="1" w:styleId="Table1">
    <w:name w:val="Table 1"/>
    <w:basedOn w:val="Normal"/>
    <w:uiPriority w:val="20"/>
    <w:qFormat/>
    <w:rsid w:val="00724574"/>
    <w:pPr>
      <w:keepNext/>
      <w:widowControl/>
      <w:spacing w:after="120"/>
      <w:jc w:val="center"/>
    </w:pPr>
    <w:rPr>
      <w:b/>
      <w:bCs/>
      <w:sz w:val="18"/>
      <w:szCs w:val="20"/>
      <w:lang w:bidi="ar-SA"/>
    </w:rPr>
  </w:style>
  <w:style w:type="paragraph" w:customStyle="1" w:styleId="TitleBorder">
    <w:name w:val="TitleBorder"/>
    <w:basedOn w:val="Normal"/>
    <w:uiPriority w:val="19"/>
    <w:qFormat/>
    <w:rsid w:val="00724574"/>
    <w:pPr>
      <w:widowControl/>
      <w:pBdr>
        <w:bottom w:val="double" w:sz="6" w:space="0" w:color="auto"/>
      </w:pBdr>
      <w:tabs>
        <w:tab w:val="left" w:pos="851"/>
      </w:tabs>
    </w:pPr>
    <w:rPr>
      <w:sz w:val="20"/>
      <w:szCs w:val="20"/>
      <w:lang w:bidi="ar-SA"/>
    </w:rPr>
  </w:style>
  <w:style w:type="paragraph" w:styleId="NoSpacing">
    <w:name w:val="No Spacing"/>
    <w:uiPriority w:val="20"/>
    <w:rsid w:val="00724574"/>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724574"/>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724574"/>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724574"/>
    <w:rPr>
      <w:b/>
      <w:bCs/>
      <w:i/>
      <w:iCs/>
      <w:color w:val="4F81BD" w:themeColor="accent1"/>
    </w:rPr>
  </w:style>
  <w:style w:type="paragraph" w:styleId="ListParagraph">
    <w:name w:val="List Paragraph"/>
    <w:basedOn w:val="Normal"/>
    <w:uiPriority w:val="34"/>
    <w:qFormat/>
    <w:rsid w:val="00724574"/>
    <w:pPr>
      <w:widowControl/>
      <w:ind w:left="720"/>
      <w:contextualSpacing/>
    </w:pPr>
    <w:rPr>
      <w:rFonts w:eastAsiaTheme="minorHAnsi" w:cstheme="minorBidi"/>
      <w:szCs w:val="22"/>
      <w:lang w:bidi="ar-SA"/>
    </w:rPr>
  </w:style>
  <w:style w:type="paragraph" w:customStyle="1" w:styleId="CitaviBibliographyEntry">
    <w:name w:val="Citavi Bibliography Entry"/>
    <w:basedOn w:val="Normal"/>
    <w:link w:val="CitaviBibliographyEntryChar"/>
    <w:rsid w:val="00724574"/>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724574"/>
    <w:rPr>
      <w:rFonts w:ascii="Arial" w:eastAsiaTheme="minorHAnsi" w:hAnsi="Arial" w:cstheme="minorBidi"/>
      <w:sz w:val="22"/>
      <w:szCs w:val="22"/>
      <w:lang w:eastAsia="en-US"/>
    </w:rPr>
  </w:style>
  <w:style w:type="table" w:customStyle="1" w:styleId="Table">
    <w:name w:val="Table"/>
    <w:basedOn w:val="TableNormal"/>
    <w:uiPriority w:val="99"/>
    <w:rsid w:val="00724574"/>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table" w:styleId="GridTable4">
    <w:name w:val="Grid Table 4"/>
    <w:basedOn w:val="TableNormal"/>
    <w:uiPriority w:val="49"/>
    <w:rsid w:val="00724574"/>
    <w:rPr>
      <w:rFonts w:ascii="Arial" w:eastAsiaTheme="minorHAnsi" w:hAnsi="Arial" w:cs="Arial"/>
      <w:sz w:val="22"/>
      <w:szCs w:val="22"/>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10">
    <w:name w:val="Table1"/>
    <w:basedOn w:val="TableNormal"/>
    <w:uiPriority w:val="99"/>
    <w:rsid w:val="00724574"/>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styleId="Caption">
    <w:name w:val="caption"/>
    <w:basedOn w:val="Normal"/>
    <w:next w:val="Normal"/>
    <w:uiPriority w:val="35"/>
    <w:unhideWhenUsed/>
    <w:qFormat/>
    <w:rsid w:val="00724574"/>
    <w:pPr>
      <w:widowControl/>
      <w:spacing w:after="200"/>
    </w:pPr>
    <w:rPr>
      <w:rFonts w:eastAsiaTheme="minorHAnsi" w:cstheme="minorBidi"/>
      <w:i/>
      <w:iCs/>
      <w:color w:val="1F497D" w:themeColor="text2"/>
      <w:sz w:val="18"/>
      <w:szCs w:val="18"/>
      <w:lang w:bidi="ar-SA"/>
    </w:rPr>
  </w:style>
  <w:style w:type="paragraph" w:styleId="CommentSubject">
    <w:name w:val="annotation subject"/>
    <w:basedOn w:val="CommentText"/>
    <w:next w:val="CommentText"/>
    <w:link w:val="CommentSubjectChar"/>
    <w:uiPriority w:val="99"/>
    <w:semiHidden/>
    <w:unhideWhenUsed/>
    <w:rsid w:val="00724574"/>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724574"/>
    <w:rPr>
      <w:rFonts w:ascii="Arial" w:eastAsiaTheme="minorHAnsi" w:hAnsi="Arial" w:cstheme="minorBidi"/>
      <w:b/>
      <w:bCs/>
      <w:lang w:eastAsia="en-US" w:bidi="en-US"/>
    </w:rPr>
  </w:style>
  <w:style w:type="character" w:customStyle="1" w:styleId="BalloonTextChar">
    <w:name w:val="Balloon Text Char"/>
    <w:basedOn w:val="DefaultParagraphFont"/>
    <w:link w:val="BalloonText"/>
    <w:uiPriority w:val="99"/>
    <w:semiHidden/>
    <w:rsid w:val="00724574"/>
    <w:rPr>
      <w:rFonts w:ascii="Tahoma" w:hAnsi="Tahoma" w:cs="Tahoma"/>
      <w:sz w:val="16"/>
      <w:szCs w:val="16"/>
      <w:lang w:eastAsia="en-US" w:bidi="en-US"/>
    </w:rPr>
  </w:style>
  <w:style w:type="paragraph" w:styleId="Revision">
    <w:name w:val="Revision"/>
    <w:hidden/>
    <w:uiPriority w:val="99"/>
    <w:semiHidden/>
    <w:rsid w:val="00873FD1"/>
    <w:rPr>
      <w:rFonts w:ascii="Arial" w:hAnsi="Arial"/>
      <w:sz w:val="22"/>
      <w:szCs w:val="24"/>
      <w:lang w:eastAsia="en-US" w:bidi="en-US"/>
    </w:rPr>
  </w:style>
  <w:style w:type="character" w:styleId="Emphasis">
    <w:name w:val="Emphasis"/>
    <w:basedOn w:val="DefaultParagraphFont"/>
    <w:uiPriority w:val="20"/>
    <w:qFormat/>
    <w:rsid w:val="00E85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9191">
      <w:bodyDiv w:val="1"/>
      <w:marLeft w:val="0"/>
      <w:marRight w:val="0"/>
      <w:marTop w:val="0"/>
      <w:marBottom w:val="0"/>
      <w:divBdr>
        <w:top w:val="none" w:sz="0" w:space="0" w:color="auto"/>
        <w:left w:val="none" w:sz="0" w:space="0" w:color="auto"/>
        <w:bottom w:val="none" w:sz="0" w:space="0" w:color="auto"/>
        <w:right w:val="none" w:sz="0" w:space="0" w:color="auto"/>
      </w:divBdr>
      <w:divsChild>
        <w:div w:id="1987583899">
          <w:marLeft w:val="0"/>
          <w:marRight w:val="0"/>
          <w:marTop w:val="0"/>
          <w:marBottom w:val="0"/>
          <w:divBdr>
            <w:top w:val="none" w:sz="0" w:space="0" w:color="auto"/>
            <w:left w:val="none" w:sz="0" w:space="0" w:color="auto"/>
            <w:bottom w:val="none" w:sz="0" w:space="0" w:color="auto"/>
            <w:right w:val="none" w:sz="0" w:space="0" w:color="auto"/>
          </w:divBdr>
          <w:divsChild>
            <w:div w:id="1171531898">
              <w:marLeft w:val="0"/>
              <w:marRight w:val="0"/>
              <w:marTop w:val="0"/>
              <w:marBottom w:val="0"/>
              <w:divBdr>
                <w:top w:val="none" w:sz="0" w:space="0" w:color="auto"/>
                <w:left w:val="none" w:sz="0" w:space="0" w:color="auto"/>
                <w:bottom w:val="none" w:sz="0" w:space="0" w:color="auto"/>
                <w:right w:val="none" w:sz="0" w:space="0" w:color="auto"/>
              </w:divBdr>
              <w:divsChild>
                <w:div w:id="668753698">
                  <w:marLeft w:val="0"/>
                  <w:marRight w:val="0"/>
                  <w:marTop w:val="0"/>
                  <w:marBottom w:val="0"/>
                  <w:divBdr>
                    <w:top w:val="none" w:sz="0" w:space="0" w:color="auto"/>
                    <w:left w:val="none" w:sz="0" w:space="0" w:color="auto"/>
                    <w:bottom w:val="none" w:sz="0" w:space="0" w:color="auto"/>
                    <w:right w:val="single" w:sz="6" w:space="0" w:color="D1D1D1"/>
                  </w:divBdr>
                  <w:divsChild>
                    <w:div w:id="1341855473">
                      <w:marLeft w:val="0"/>
                      <w:marRight w:val="0"/>
                      <w:marTop w:val="0"/>
                      <w:marBottom w:val="0"/>
                      <w:divBdr>
                        <w:top w:val="none" w:sz="0" w:space="0" w:color="auto"/>
                        <w:left w:val="none" w:sz="0" w:space="0" w:color="auto"/>
                        <w:bottom w:val="none" w:sz="0" w:space="0" w:color="auto"/>
                        <w:right w:val="none" w:sz="0" w:space="0" w:color="auto"/>
                      </w:divBdr>
                      <w:divsChild>
                        <w:div w:id="1360349141">
                          <w:marLeft w:val="0"/>
                          <w:marRight w:val="0"/>
                          <w:marTop w:val="0"/>
                          <w:marBottom w:val="0"/>
                          <w:divBdr>
                            <w:top w:val="none" w:sz="0" w:space="0" w:color="auto"/>
                            <w:left w:val="none" w:sz="0" w:space="0" w:color="auto"/>
                            <w:bottom w:val="none" w:sz="0" w:space="0" w:color="auto"/>
                            <w:right w:val="none" w:sz="0" w:space="0" w:color="auto"/>
                          </w:divBdr>
                          <w:divsChild>
                            <w:div w:id="1449352397">
                              <w:marLeft w:val="0"/>
                              <w:marRight w:val="0"/>
                              <w:marTop w:val="0"/>
                              <w:marBottom w:val="0"/>
                              <w:divBdr>
                                <w:top w:val="none" w:sz="0" w:space="0" w:color="auto"/>
                                <w:left w:val="none" w:sz="0" w:space="0" w:color="auto"/>
                                <w:bottom w:val="none" w:sz="0" w:space="0" w:color="auto"/>
                                <w:right w:val="none" w:sz="0" w:space="0" w:color="auto"/>
                              </w:divBdr>
                              <w:divsChild>
                                <w:div w:id="1249073134">
                                  <w:marLeft w:val="0"/>
                                  <w:marRight w:val="0"/>
                                  <w:marTop w:val="0"/>
                                  <w:marBottom w:val="0"/>
                                  <w:divBdr>
                                    <w:top w:val="none" w:sz="0" w:space="0" w:color="auto"/>
                                    <w:left w:val="none" w:sz="0" w:space="0" w:color="auto"/>
                                    <w:bottom w:val="none" w:sz="0" w:space="0" w:color="auto"/>
                                    <w:right w:val="none" w:sz="0" w:space="0" w:color="auto"/>
                                  </w:divBdr>
                                  <w:divsChild>
                                    <w:div w:id="135033626">
                                      <w:marLeft w:val="0"/>
                                      <w:marRight w:val="0"/>
                                      <w:marTop w:val="0"/>
                                      <w:marBottom w:val="0"/>
                                      <w:divBdr>
                                        <w:top w:val="none" w:sz="0" w:space="0" w:color="auto"/>
                                        <w:left w:val="none" w:sz="0" w:space="0" w:color="auto"/>
                                        <w:bottom w:val="none" w:sz="0" w:space="0" w:color="auto"/>
                                        <w:right w:val="none" w:sz="0" w:space="0" w:color="auto"/>
                                      </w:divBdr>
                                      <w:divsChild>
                                        <w:div w:id="11444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yperlink" Target="https://admin-www.foodstandards.gov.au/code/applications/Pages/A1132Definition-of-Steviol-Glycosides.aspx" TargetMode="External"/><Relationship Id="rId21" Type="http://schemas.openxmlformats.org/officeDocument/2006/relationships/image" Target="media/image2.png"/><Relationship Id="rId34" Type="http://schemas.openxmlformats.org/officeDocument/2006/relationships/hyperlink" Target="http://apps.who.int/iris/bitstream/handle/10665/259483/9789241210164-eng.pdf?sequence=1&amp;isAllowed=y" TargetMode="External"/><Relationship Id="rId42" Type="http://schemas.openxmlformats.org/officeDocument/2006/relationships/hyperlink" Target="https://admin-www.foodstandards.gov.au/code/applications/Pages/applicationa540stevi3096.aspx" TargetMode="External"/><Relationship Id="rId47" Type="http://schemas.openxmlformats.org/officeDocument/2006/relationships/hyperlink" Target="https://admin-www.foodstandards.gov.au/science/riskanalysis/Pages/default.aspx" TargetMode="External"/><Relationship Id="rId50" Type="http://schemas.openxmlformats.org/officeDocument/2006/relationships/footer" Target="foot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4.png"/><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yperlink" Target="http://www.fao.org/fileadmin/templates/agns/pdf/jecfa/cta/69/Steviol_glycosides.pdf" TargetMode="External"/><Relationship Id="rId37" Type="http://schemas.openxmlformats.org/officeDocument/2006/relationships/hyperlink" Target="Accessed" TargetMode="External"/><Relationship Id="rId40" Type="http://schemas.openxmlformats.org/officeDocument/2006/relationships/hyperlink" Target="https://admin-www.foodstandards.gov.au/code/applications/Pages/A1108-RebaudiosideM-SteviolGlycosideIntenseSweetener.aspx" TargetMode="External"/><Relationship Id="rId45" Type="http://schemas.openxmlformats.org/officeDocument/2006/relationships/hyperlink" Target="https://www.canada.ca/en/health-canada/services/food-nutrition/legislation-guidelines/acts-regulations/modification-list-permitted-sweeteners-steviol-glycosides.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hyperlink" Target="http://whqlibdoc.who.int/publications/2009/9789241660600_eng.pdf" TargetMode="External"/><Relationship Id="rId49" Type="http://schemas.openxmlformats.org/officeDocument/2006/relationships/hyperlink" Target="https://admin-www.foodstandards.gov.au/science/exposure/Pages/dietaryexposureandin4438.aspx"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www.portal.euromonitor.com/portal/magazine/homemain" TargetMode="External"/><Relationship Id="rId44" Type="http://schemas.openxmlformats.org/officeDocument/2006/relationships/hyperlink" Target="https://www.canada.ca/en/health-canada/services/food-nutrition/public-involvement-partnerships/modification-list-permitted-sweeteners-enable-use-rebaudioside-sweetener-various-unstandardized-foods.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www.efsa.europa.eu/fr/efsajournal/pub/1537.htm" TargetMode="External"/><Relationship Id="rId35" Type="http://schemas.openxmlformats.org/officeDocument/2006/relationships/hyperlink" Target="http://www.google.com/url?sa=t&amp;rct=j&amp;q=&amp;esrc=s&amp;source=web&amp;cd=1&amp;cad=rja&amp;uact=8&amp;ved=2ahUKEwibsbz4_8DdAhUJVLwKHfaMDSUQFjAAegQIABAC&amp;url=http%3A%2F%2Fwww.fao.org%2F3%2Fa-i8147e.pdf&amp;usg=AOvVaw1nSeEUsbvO4kuWHG33ieib" TargetMode="External"/><Relationship Id="rId43" Type="http://schemas.openxmlformats.org/officeDocument/2006/relationships/hyperlink" Target="https://www.researchgate.net/publication/260639460_Main_properties_of_steviol_glycosides_and_their_potential_in_the_food_industry_a_review" TargetMode="External"/><Relationship Id="rId48" Type="http://schemas.openxmlformats.org/officeDocument/2006/relationships/hyperlink" Target="https://admin-www.foodstandards.gov.au/science/exposure/documents/Principles%20_%20practices%20exposure%20assessment%202009.pdf"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http://apps.who.int/iris/bitstream/10665/250277/1/9789241210003-eng.pdf" TargetMode="External"/><Relationship Id="rId38" Type="http://schemas.openxmlformats.org/officeDocument/2006/relationships/hyperlink" Target="https://admin-www.foodstandards.gov.au/code/applications/Pages/A1157&#8211;EnzymaticproductionofRebaudiosideM.aspx" TargetMode="External"/><Relationship Id="rId46" Type="http://schemas.openxmlformats.org/officeDocument/2006/relationships/hyperlink" Target="https://www.accessdata.fda.gov/scripts/fdcc/?set=GRASNotices&amp;id=418&amp;sort=GRN_No&amp;order=DESC&amp;startrow=1&amp;type=basic&amp;search=418" TargetMode="External"/><Relationship Id="rId20" Type="http://schemas.openxmlformats.org/officeDocument/2006/relationships/footer" Target="footer3.xml"/><Relationship Id="rId41" Type="http://schemas.openxmlformats.org/officeDocument/2006/relationships/hyperlink" Target="https://admin-www.foodstandards.gov.au/code/applications/Pages/applicationa1037stev46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9AD2-F0EA-409A-9776-18EA17EF9CF4}">
  <ds:schemaRefs>
    <ds:schemaRef ds:uri="http://schemas.microsoft.com/sharepoint/v3/contenttype/forms"/>
  </ds:schemaRefs>
</ds:datastoreItem>
</file>

<file path=customXml/itemProps2.xml><?xml version="1.0" encoding="utf-8"?>
<ds:datastoreItem xmlns:ds="http://schemas.openxmlformats.org/officeDocument/2006/customXml" ds:itemID="{C0543E86-ACF5-4E73-928D-A0BAAC231BF1}"/>
</file>

<file path=customXml/itemProps3.xml><?xml version="1.0" encoding="utf-8"?>
<ds:datastoreItem xmlns:ds="http://schemas.openxmlformats.org/officeDocument/2006/customXml" ds:itemID="{28CCBC04-D6D6-426A-8D5A-0CA383951B86}"/>
</file>

<file path=customXml/itemProps4.xml><?xml version="1.0" encoding="utf-8"?>
<ds:datastoreItem xmlns:ds="http://schemas.openxmlformats.org/officeDocument/2006/customXml" ds:itemID="{ADD23A8C-DA81-4E2A-AFE8-6DEF2A5AB4C4}"/>
</file>

<file path=customXml/itemProps5.xml><?xml version="1.0" encoding="utf-8"?>
<ds:datastoreItem xmlns:ds="http://schemas.openxmlformats.org/officeDocument/2006/customXml" ds:itemID="{A4B19AD2-F0EA-409A-9776-18EA17EF9CF4}"/>
</file>

<file path=customXml/itemProps6.xml><?xml version="1.0" encoding="utf-8"?>
<ds:datastoreItem xmlns:ds="http://schemas.openxmlformats.org/officeDocument/2006/customXml" ds:itemID="{ADD23A8C-DA81-4E2A-AFE8-6DEF2A5AB4C4}">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FFB99C3A-47F4-4441-B187-4FFB92423974}"/>
</file>

<file path=docProps/app.xml><?xml version="1.0" encoding="utf-8"?>
<Properties xmlns="http://schemas.openxmlformats.org/officeDocument/2006/extended-properties" xmlns:vt="http://schemas.openxmlformats.org/officeDocument/2006/docPropsVTypes">
  <Template>Normal</Template>
  <TotalTime>6</TotalTime>
  <Pages>30</Pages>
  <Words>10330</Words>
  <Characters>65027</Characters>
  <Application>Microsoft Office Word</Application>
  <DocSecurity>0</DocSecurity>
  <Lines>541</Lines>
  <Paragraphs>150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75207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keywords/>
  <cp:lastModifiedBy>coughc</cp:lastModifiedBy>
  <cp:revision>6</cp:revision>
  <cp:lastPrinted>2018-10-03T02:21:00Z</cp:lastPrinted>
  <dcterms:created xsi:type="dcterms:W3CDTF">2018-10-03T03:50:00Z</dcterms:created>
  <dcterms:modified xsi:type="dcterms:W3CDTF">2019-03-17T23:18:00Z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250c7f88-0785-411f-bb51-5775012cc1c4</vt:lpwstr>
  </property>
  <property fmtid="{D5CDD505-2E9C-101B-9397-08002B2CF9AE}" pid="3" name="bjSaver">
    <vt:lpwstr>F7CJ7+j1H4mVV8c3pro2WrI4n/XQdguU</vt:lpwstr>
  </property>
  <property fmtid="{D5CDD505-2E9C-101B-9397-08002B2CF9AE}" pid="4" name="ContentTypeId">
    <vt:lpwstr>0x010100CB2FFA9FD6109347A9495CD5860AFAE6</vt:lpwstr>
  </property>
  <property fmtid="{D5CDD505-2E9C-101B-9397-08002B2CF9AE}" pid="5" name="_dlc_DocIdItemGuid">
    <vt:lpwstr>46c60ef9-9af2-4325-af30-8a1fb6a653fc</vt:lpwstr>
  </property>
  <property fmtid="{D5CDD505-2E9C-101B-9397-08002B2CF9AE}" pid="6" name="DisposalClass">
    <vt:lpwstr/>
  </property>
  <property fmtid="{D5CDD505-2E9C-101B-9397-08002B2CF9AE}" pid="7" name="BCS_">
    <vt:lpwstr>609;#FOOD STANDARDS:Notifications|cb7eeb77-0baa-4e31-9d98-aad1478135c4</vt:lpwstr>
  </property>
  <property fmtid="{D5CDD505-2E9C-101B-9397-08002B2CF9AE}" pid="8" name="a41428b017d04df981d58ffdf035d7b8">
    <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RecordPoint_WorkflowType">
    <vt:lpwstr>ActiveSubmitStub</vt:lpwstr>
  </property>
  <property fmtid="{D5CDD505-2E9C-101B-9397-08002B2CF9AE}" pid="19" name="RecordPoint_ActiveItemWebId">
    <vt:lpwstr>{0a24ff59-26de-499e-af6c-870128dbbd86}</vt:lpwstr>
  </property>
  <property fmtid="{D5CDD505-2E9C-101B-9397-08002B2CF9AE}" pid="20" name="RecordPoint_ActiveItemSiteId">
    <vt:lpwstr>{cec154f9-42c6-4481-9906-45443d426660}</vt:lpwstr>
  </property>
  <property fmtid="{D5CDD505-2E9C-101B-9397-08002B2CF9AE}" pid="21" name="RecordPoint_ActiveItemListId">
    <vt:lpwstr>{3a9826a6-ef3d-4704-849b-07726235ecc0}</vt:lpwstr>
  </property>
  <property fmtid="{D5CDD505-2E9C-101B-9397-08002B2CF9AE}" pid="22" name="RecordPoint_ActiveItemUniqueId">
    <vt:lpwstr>{72ae43d2-98e0-4c3e-8b6d-655887c585ce}</vt:lpwstr>
  </property>
  <property fmtid="{D5CDD505-2E9C-101B-9397-08002B2CF9AE}" pid="23" name="RecordPoint_RecordNumberSubmitted">
    <vt:lpwstr>R0000110666</vt:lpwstr>
  </property>
  <property fmtid="{D5CDD505-2E9C-101B-9397-08002B2CF9AE}" pid="24" name="RecordPoint_SubmissionCompleted">
    <vt:lpwstr>2019-03-18T09:46:20.4841565+11:00</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ies>
</file>